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2.wmf" ContentType="image/x-wmf"/>
  <Override PartName="/word/media/image4.wmf" ContentType="image/x-wmf"/>
  <Override PartName="/word/media/image1.wmf" ContentType="image/x-wmf"/>
  <Override PartName="/word/media/image3.png" ContentType="image/png"/>
  <Override PartName="/word/footer1.xml" ContentType="application/vnd.openxmlformats-officedocument.wordprocessingml.footer+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rPr>
          <w:rFonts w:ascii="Times New Roman" w:hAnsi="Times New Roman" w:cs="Times New Roman"/>
          <w:b/>
          <w:b/>
          <w:bCs/>
          <w:color w:val="171314"/>
          <w:sz w:val="46"/>
          <w:szCs w:val="46"/>
        </w:rPr>
      </w:pPr>
      <w:r>
        <w:rPr>
          <w:rFonts w:cs="Times New Roman" w:ascii="Times New Roman" w:hAnsi="Times New Roman"/>
          <w:b/>
          <w:bCs/>
          <w:color w:val="171314"/>
          <w:sz w:val="46"/>
          <w:szCs w:val="46"/>
        </w:rPr>
        <w:t>I meccanismi di governo societario</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Problemi di agenzia</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Meccanismi di governo societario esterno</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Meccanismi di governance interna societaria</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Pacchetto di meccanismi di governance</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b/>
          <w:bCs/>
          <w:sz w:val="24"/>
          <w:szCs w:val="24"/>
        </w:rPr>
        <w:t>3.1 Il caso Parmalat</w:t>
      </w:r>
    </w:p>
    <w:p>
      <w:pPr>
        <w:pStyle w:val="Normal"/>
        <w:rPr>
          <w:rFonts w:ascii="Times New Roman" w:hAnsi="Times New Roman" w:cs="Times New Roman"/>
          <w:sz w:val="24"/>
          <w:szCs w:val="24"/>
        </w:rPr>
      </w:pPr>
      <w:r>
        <w:rPr>
          <w:rFonts w:cs="Times New Roman" w:ascii="Times New Roman" w:hAnsi="Times New Roman"/>
          <w:sz w:val="24"/>
          <w:szCs w:val="24"/>
        </w:rPr>
        <w:t>Calisto Tanzi fonda Parmalat all'inizio degli anni '60. L'idea imprenditoriale alla base dell'azienda è vendere latte in contenitori di carta alluminata usa e getta, piuttosto che bottiglie di vetro a rendere. Il nuovo tipo di packaging e l'utilizzo di nuove tecnologie di confezionamento in ambiente asettico, ne consente la produzione alle aziende di passare dalla commercializzazione del prodotto a livello locale alla vendita in tutto il paese. Negli anni '80 l'azienda inizia a diversificare il proprio prodotto range per cogliere le economie di scala e di scopo implicite in questa scelta. Durante questo periodo l'azienda inizia a produrre succhi di frutta, purea di frutta, yogurt e prodotti da forno. Nel 1990 Parmalat si fonde con una società quotata, denominata Finanziaria Centrale Nord (FCN), controllata anche da Calisto Tanzi. Successivamente FCN cambia nome in Parmalat Finanziaria S.p.A. e diventa capogruppo della holding operativa Parmalat S.p.A. Negli anni '90 Parmalat avvia il suo piano di internazionalizzazione. In una prima fase, l'azienda si rivolge al Sud America; poi lancia un piano di globalizzazione entrando il mercato in Nord America, Australia, Sud Africa e altri paesi. Internazionale l'espansione avviene attraverso l'acquisizione di decine di aziende. A partire dal1990 al 2002 il fatturato di Parmalat passa da 569 a 7.590 milioni di euro, di cui oltre il 60 per cento è generato al di fuori dell'Europa, principalmente nel continente americano. Parmalat ha effettuato più di 30 emissioni obbligazionarie per finanziare la propria espansione internazionale tramite M&amp;A. Calisto Tanzi costruisce rapporti di collaborazione con diversi stakeholder esterni. Fornisce sostegno finanziario a varie attività legate alla Chiesa cattolica: a centro di riabilitazione per persone con problemi di droga, casa di cura per madri separate, la fornitura di latte e biscotti ai senzatetto. Allo stesso tempo, Parmalat sponsorizza numerosi eventi e squadre sportive: la Coppa del Mondo di sci 1975, la Formula l Campione del mondo Niki Lauda nel 1976 e 1977, e nel Parma AC. Calisto Tanzi mantiene anche buoni rapporti con i politici, soprattutto con i membri della Democrazia Cristiana. Infine è consigliere di amministrazione di grandi banche italiane come Capitalia e Banca Intesa.</w:t>
      </w:r>
    </w:p>
    <w:p>
      <w:pPr>
        <w:pStyle w:val="Normal"/>
        <w:rPr>
          <w:rFonts w:ascii="Times New Roman" w:hAnsi="Times New Roman" w:cs="Times New Roman"/>
          <w:sz w:val="24"/>
          <w:szCs w:val="24"/>
        </w:rPr>
      </w:pPr>
      <w:r>
        <w:rPr>
          <w:rFonts w:cs="Times New Roman" w:ascii="Times New Roman" w:hAnsi="Times New Roman"/>
          <w:sz w:val="24"/>
          <w:szCs w:val="24"/>
        </w:rPr>
        <w:t>Parmalat Finanziaria è quotata alla Borsa Italiana. L'azienda è controllata da La Coloniale (di proprietà di Tanzi) con il 51,157 per cento delle azioni. Parmalat ha due revisori esterni. Dal 1999 Grant Thomton, il principale revisore del gruppo dal 1990 al 1999 è stato revisore delle società controllate estere, mentre Deloitt è revisore principale. Nel 2002 il Consiglio di Amministrazione di Parmalat Finanziaria S.p.A. è composto da 13 amministratori. Gli amministratori esecutivi sono otto: Alberto Ferraris, Antonio Gherardi, Francesco Giuffredi, Calisto Tanzi (fondatore), Giovanni Tanzi (fratello di Calisto), Stefano Tanzi (figlio di Calisto), Fausto Tonna (CFO dal 1987 e amministratore dal 1992) e Paola Visconti (nipote di Calisto).Gli amministratori non esecutivi sono cinque: Enrico Barachini (commercialista, consigliere di Parmalat per più di un decennio, vicepresidente di BPL Investimenti), Domenico Barili (Vice Presidente Parmalat S.p.A.), Piero Mistrangelo (ex dipendente Parmalat), Paolo Sciumè (avvocato, consigliere Parmalat da più di un decennio, consigliere in Mediolanum), e Luciano Silingardi (Presidente di Cariparma, dottore commercialista di Tanzi, amministratore Parmalat da più di un decennio). Tre di questi amministratori non esecutivi sono considerati indipendenti: Barachini, Sciumè, Silingardi. Calisto Tanzi è presidente e amministratore delegato di Parmalat finanziaria. Il comitato esecutivo è composto da sette membri: Domenico Barili, Antonio Gherardi, Francesco Giuffredi, Calisto Tanzi, Giovanni Tanzi, Stefano Tanzi e Fausto Tonna. Il Comitato per la Remunerazione è composto da tre membri: Enrico Barachini (presidente), Domenico Barili e Paolo Sciumè. Il comitato Audit è composto da tre componenti: Luciano Silingardi (presidente), Francesco Giuffredi e Fausto Tonna. Nel 2002 il consiglio ha tenuto sette riunioni cui hanno partecipato l'89 per cento degli amministratori e 90 percento degli amministratori indipendenti. La remunerazione complessiva del Consiglio e del Comitato Esecutivo ammonta rispettivamente a 210.000 euro e 60.000 euro. Coerentemente con la modalità di governance tradizionale italiana, Parmalat finanziaria i soci hanno inoltre nominato un collegio sindacale. Questa tavola è composta di tre membri: Mario Brughera (presidente), Oreste Ferretti (membro) e Massimo Nuti (membro). I membri di Ali sono stati eletti dall'azionista di controllo in quanto nessun socio di minoranza ha presentato liste di candidati. I compiti principali del consiglio dei sindaci devono vigilare sull'osservanza della legge, dello statuto e del principio di corretta amministrazione, e vigilare sull'adeguatezza della struttura organizzativa, il sistema di controllo interno, e il sistema amministrativo-contabile. All'inizio del 2003, Parmalat è apparentemente una grande azienda italiana di successo- azienda, focalizzata sulla produzione di latte, prodotti da forno e bevande. In dicembre- nel 2002 il Gruppo Parmalat gestisce 139 stabilimenti in diversi paesi e impiega oltre 36.000 persone. Nella prima metà del 2003 il gruppo riporta un bilancio positivo, risultati economici, anche se in leggera flessione rispetto allo stesso periodo dell'anno precedente. Il fatturato ammonta a 3.426 milioni di euro, con un margine operativo lordo di 413 milioni di euro (12,1%), un utile operativo di 270 milioni di euro (7,9%) e un utile netto di 120 milioni di euro (3,5%). La struttura finanziaria del gruppo al 30 giugno 2003 è rassicurante. Parmalat: ha un indebitamento finanziario di 5.347 milioni di euro, ma anche una liquidità pari a 3.537 milioni di euro. Come di conseguenza, l'indebitamento finanziario netto è pari a 1810 milioni di euro circa l'86% del patrimonio netto. Considerando la stabilità del settore alimentare e la buona posizione competitiva dell'azienda, il livello di indebitamento non sembra dare adito a particolari problemi. Ciò anche perché, nella presentazione dei risultati del primo semestre 2003, la società dichiara che l'esistenza di alcune disponibilità liquide continua ad essere positiva elemento della gestione della tesoreria di gruppo, che la gestione della tesoreria globale sarà migliorata e che la differenza tra il tasso medio di rendimento delle attività liquide (3,34%) e il costo medio del debito al netto dell'effetto fiscale (3,48%) è piuttosto bassa. Il 19 agosto 2003, il rapporto dell'agenzia di rating Standard &amp; Poor's (S&amp;P) sostiene che i rating di Parmalat Finanziaria S.p.A. e della sua controllata operativa Parmalat S.p.A., riflettono la posizione dominante sul mercato interno del gruppo in Italia, la sua geografica diversità e la diversità dei prodotti e l'attenzione al marchio e a un valore aggiunto più elevato categorie, che attenuano le caratteristiche di comodità del latte. D'altra parte, il file L'agenzia osserva che questi fattori positivi sono mitigati dalla moderata finanza del gruppo gestione dei profitti. Alcuni segnali di tensione sulla solidità dell'azienda emergono nel febbraio 2003, quando Parmalat annuncia l'emissione di un prestito obbligazionario settennale da 300 milioni di euro riservato agli investitori istituzionali. La borsa reagisce con un crollo del nove per cento delle azioni valore dovuto alla mancanza di informazioni sulla transazione. A marzo Tanzi rassicura il mercato annunciando di voler organizzare un incontro con tutti gli analisti e è pronta ad aumentare il capitale sociale di 80 milioni di euro. A giugno e settembre, il la società emette due nuove emissioni obbligazionarie del valore di 300 e 350 milioni di euro, entrambe sottoscritte da intermediari finanziari. All'inizio della seconda metà del 2003 Parmalat riacquista la fiducia del mercato che aveva perso parzialmente a febbraio. I problemi finanziari di Parmalat diventano evidenti nel novembre 2003, quando lo sono ha riferito che il gruppo alimentare sta vivendo gravi problemi di liquidità. In risposta a queste preoccupazioni, la società convoca l'assemblea dei soci il 24 dicembre a approva un aumento di capitale a pagamento da 400 milioni di euro a 500 milioni di euro. In occasione dell'approvazione della relazione trimestrale al 30 settembre 2003, CONSOB (il Commissione italiana sicurezza e cambio) chiede alla società di chiarire al mercato come intende rimborsare le obbligazioni in scadenza entro il 2004. Parmalat fornisce maggiori informazioni sulle sue dichiarazioni finanziarie e chiarisce che rimborserà prestiti in maturazione utilizzando i suoi beni liquidi. Il 10 novembre la società annuncia che le sue attività correnti includono quote di un fondo comune di investimento estero noto come Fondo Epicurum, registrato a un valore pari al costo di sottoscrizione, ovvero 496,5 milioni di euro. L'11 novembre, Deloitte &amp; Touche esprime dubbi sull'investimento nel fondo Epicurum, al quale il gruppo risponde riaffermando la sua forza finanziaria. Alla fine della giornata, Standard &amp; Poor's classifica tutti come "in osservazione" i rating assegnati ai titoli Parmalat per dubbi sulla tenuta dei conti e il modo in cui viene investita la liquidità. Il 12 novembre Parmalat chiede formalmente al fondo Epicurum di liquidare il proprio investimento, perché negativi rapporti su di esso. Il gruppo annuncia l'imminente dismissione del proprio investimento. In data 8 dicembre 2003 Parmalat comunica che il Fondo Epicurum non ha liquidato le proprie quote entro il termine del 4 dicembre 2003 e chiede alla società di concordare una proroga del termine di pagamento. Parmalat è costretta a rinviare di una settimana il rimborso di un prestito obbligazionario di 150 milioni di euro in scadenza l'8 dicembre 2011. Il 9 dicembre la famiglia Tanzi ammette le proprie difficoltà e assicura agli investitori il proprio impegno a pagare. Al fine di garantire la massima trasparenza o investitori, il consiglio di amministrazione conferisce ad Enrico Bondi - che in precedenza aveva avuto successo ha gestito la crisi finanziaria al Montedison - il compito professionale di assistere nella predisposizione di un eventuale piano di ristrutturazione industriale e finanziaria per il gruppo. Alcuni amministratori e sindaci si dimettono dalle cariche in Parmalat Gruppo. In un comunicato stampa diffuso il 12 dicembre 2003, la Società dichiara che Parmalat Finanziaria S.p.A. ha provveduto al completo rimborso degli € 150milioni di emissioni obbligazionarie. Ne prende atto il consiglio di amministrazione del 15 dicembre le dimissioni degli amministratori e nomina per cooptazione tre nuovi membri. Sulla stessa linea, Calisto Tanzi si dimette da Presidente, Amministratore Delegato e Consigliere di Parmalat Finanziaria S.p.A. Il Consiglio nomina Presidente Enrico Bondi e Amministratore Delegato della Società. Il 16 dicembre Parmalat premia un mandato a PriceWaterhouseCoopers, un revisore indipendente, per la revisione del gruppo attività e passività finanziarie. Persistono difficoltà finanziarie. In data 18 dicembre il gruppo dichiara di non essere in grado di acquistare le azioni detenute dagli azionisti di minoranza nelle proprie controllate brasiliane. La società affida a Lazard e Mediobanca il compito di assisterla in una revisione della situazione economica, finanziaria e patrimoniale e in qualsiasi ristrutturazione finanziaria Piano. Il 19 dicembre Parmalat annuncia che Bank of America ha informato Grant Thornton, società di revisione di Bonlat, società del Gruppo Parmalat situato nelle Isole Cayman, di cui non detiene un "conto" Bonlat. Inoltre, la Bank of America rinnega un documento datato 6 marzo 2002, in cui si affermava che Bonlat deteneva posizioni in titoli e liquidità per circa 3.950 milioni di euro al 31 dicembre 2002. Il consiglio di amministrazione conferisce mandato al Presidente per informare l'Autorità Giudiziaria degli eventi che si sono verificati si è verificato. In data 23 dicembre, a seguito di delibera dell'assemblea straordinaria, Parmalat S.p.A. chiede l'ammissione alla procedura di amministrazione straordinaria ai sensi del decreto legge 23 dicembre 2003, n. 347. Enrico Bondi è nominato Commissario Straordinario della Società con decreto del Ministro del Attività Produttive. Il 27 dicembre 2003 Parmalat S.p.A. è dichiarata insolvente dal tribunale di Parma. La relazione sulla situazione finanziaria ed economica del gruppo Parmalat, redatta da PriceWaterhouseCoopers, fornisce una prima stima dei ricavi e EBITDA per il 2002 e i primi nove mesi del 2003, rideterminato sulla base di operazioni non documentate e passività non riconosciute. Include anche una stima, rettificata per operazioni non documentate e passività non registrate, di indebitamento finanziario su 30 settembre 2003. Come si può vedere nella Tabella 3.1, il report mostra differenze significative rispetto ai dati riportati nei conti economici consolidati al 31 dicembre 2002 e al 30 settembre 2003.</w:t>
      </w:r>
    </w:p>
    <w:p>
      <w:pPr>
        <w:pStyle w:val="Normal"/>
        <w:rPr>
          <w:rFonts w:ascii="Times New Roman" w:hAnsi="Times New Roman" w:cs="Times New Roman"/>
          <w:sz w:val="24"/>
          <w:szCs w:val="24"/>
        </w:rPr>
      </w:pPr>
      <w:r>
        <w:rPr/>
        <w:drawing>
          <wp:inline distT="0" distB="0" distL="0" distR="0">
            <wp:extent cx="6120130" cy="2095500"/>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rcRect l="0" t="9725" r="0" b="65522"/>
                    <a:stretch>
                      <a:fillRect/>
                    </a:stretch>
                  </pic:blipFill>
                  <pic:spPr bwMode="auto">
                    <a:xfrm>
                      <a:off x="0" y="0"/>
                      <a:ext cx="6120130" cy="209550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3.2 Problemi dell'agenzia</w:t>
      </w:r>
    </w:p>
    <w:p>
      <w:pPr>
        <w:pStyle w:val="Normal"/>
        <w:rPr>
          <w:rFonts w:ascii="Times New Roman" w:hAnsi="Times New Roman" w:cs="Times New Roman"/>
          <w:b/>
          <w:b/>
          <w:bCs/>
          <w:sz w:val="24"/>
          <w:szCs w:val="24"/>
        </w:rPr>
      </w:pPr>
      <w:r>
        <w:rPr>
          <w:rFonts w:cs="Times New Roman" w:ascii="Times New Roman" w:hAnsi="Times New Roman"/>
          <w:b/>
          <w:bCs/>
          <w:sz w:val="24"/>
          <w:szCs w:val="24"/>
        </w:rPr>
        <w:t>3.2.1 La teoria dell'agenzia</w:t>
      </w:r>
    </w:p>
    <w:p>
      <w:pPr>
        <w:pStyle w:val="Normal"/>
        <w:rPr>
          <w:rFonts w:ascii="Times New Roman" w:hAnsi="Times New Roman" w:cs="Times New Roman"/>
          <w:sz w:val="24"/>
          <w:szCs w:val="24"/>
        </w:rPr>
      </w:pPr>
      <w:r>
        <w:rPr>
          <w:rFonts w:cs="Times New Roman" w:ascii="Times New Roman" w:hAnsi="Times New Roman"/>
          <w:sz w:val="24"/>
          <w:szCs w:val="24"/>
        </w:rPr>
        <w:t>Un rapporto di agenzia è quello in cui una persona (l'Agente, A) agisce per, o come rappresentante di, una seconda persona (il Mandante, P). L'elemento base è la presenza di due persone, una delle quali (P) dipende in una certa misura dal comportamento della seconda (A). Il principale delega un'attività all'agente e stabilisce le regole che sovrintendono alla relazione, incluso il modo in cui le ricompense devono essere distribuite tra le parti. L'agente svolge l'attività delegata dal mandante e sceglie il corso di azione tra quelli possibili. La teoria dell'agenzia presuppone che le persone siano attori razionali che massimizzano la propria utilità. In questa prospettiva, gli agenti sono inclini ad adottare comportamenti opportunistici da perseguirei loro interessi a spese del preponente (si veda il riquadro 3.1 per comprendere la differenza tra agenzia e teoria della gestione). Il rapporto di agenzia diventa problematico in due condizioni: asimmetria informativa e incertezza. Più in dettaglio i problemi dell'agente sorgono quando l'azione dell'agente non è direttamente osservabile dal principale (asimmetria informativa), o quando il risultato dell'azione dell'agente è influenzato da eventi al di fuori del suo controllo (incertezza).La condizione di asimmetria informativa si verifica abbastanza frequentemente nei rapporti di agenzia poiché gli agenti conoscono il compito che svolgono meglio del principale, mentre il preside ha una migliore conoscenza dei risultati da raggiungere. La condizione di incertezza è comune anche nei rapporti di agenzia, perché i compiti delegati dal preponente all'agente nella maggior parte dei casi non è standardizzato o non è indipendente di eventi al di fuori del suo controllo. La presenza di asimmetria informativa e incertezza porta a numerosi problemi nelle relazioni d'affari. Tali problemi lo farebbero essere facilmente risolto se le informazioni potessero essere scambiate a costo zero e se gli incentivi per le parti coinvolte nel rapporto erano coerenti tra loro. Tuttavia, queste condizioni si verificano solo raramente.</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b/>
          <w:b/>
          <w:bCs/>
          <w:sz w:val="24"/>
          <w:szCs w:val="24"/>
        </w:rPr>
      </w:pPr>
      <w:r>
        <w:rPr>
          <w:rFonts w:cs="Times New Roman" w:ascii="Times New Roman" w:hAnsi="Times New Roman"/>
          <w:b/>
          <w:bCs/>
          <w:sz w:val="24"/>
          <w:szCs w:val="24"/>
        </w:rPr>
        <w:t>Box 3.1 Teoria dell'agenzia vs teoria dell'amministrazione</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La teoria dell'agenzia presume che le persone siano auto interessate e mirino a massimizzare i loro interessi personali. Da questa prospettiva, i manager sono inclini ad agire in modo opportunistico e a massimizzare i loro benefici personali a scapito degli azionisti. La teoria dell'amministrazione presuppone, invece, che le persone si comportino in modo simile agli amministratori quando vengono motivate Ricompense intrinseche e bisogni di alto livello (ad esempio, crescita personale, successo, realizzazione personale); avere un’alta identificazione con l'organizzazione; e condividere una cultura collettivistica ea bassa distanza in qualità di buoni amministratori dell'azienda, i manager (o dipendenti) sono motivati ​​a fare un buon lavoro, perseguire gli interessi dell'azienda e promuovere la collaborazione invece della defezione. Le diverse opinioni sul comportamento delle persone portano le due teorie a formulare previsioni opposte sulle pratiche di governance. Secondo la teoria dell'agenzia, le aziende dovrebbero progettare la governance, meccanismi volti a controllare i comportamenti dei vertici aziendali e ad allineare i loro interessi con quelli degli azionisti. Ad esempio, dal punto di vista dell'agenzia, sarebbe opportuno separare i ruoli di CEO e presidente, nominare un presidente indipendente per controllare l'opportunismo manageriale e utilizzare gli incentivi azionari del CEO per allineare gli interessi del CEO e degli azionisti. Secondo la teoria dell’amministrazione, le aziende dovrebbero, invece, responsabilizzare i top manager e dare loro un ruolo chiaro e incontrastato, in modo da facilitare il raggiungimento degli obiettivi aziendali. Ad esempio, secondo una prospettiva di amministrazione, sarebbe bene combinare i ruoli di CEO e presidente, da promuovere chiara unità di comando e per consentire agli amministratori delegati di perseguire gli interessi degli azionisti.</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Fonte: adattato da Davis, J.H., Schoorman, F. D. e Donaldson, L., "Toward a stewardship theory of management", Academy of Management Review, 22 (1), 1997, 20,47; Donaldson, L. e Davis, J.H., "Stewardship teoria o teoria dell'agenzia: governance del CEO e rendimento degli azionisti, "Australian Journal of Management, 16 (1), 1991, 49-64.</w:t>
      </w:r>
    </w:p>
    <w:p>
      <w:pPr>
        <w:pStyle w:val="Normal"/>
        <w:rPr>
          <w:rFonts w:ascii="Times New Roman" w:hAnsi="Times New Roman" w:cs="Times New Roman"/>
          <w:sz w:val="24"/>
          <w:szCs w:val="24"/>
        </w:rPr>
      </w:pPr>
      <w:r>
        <w:rPr>
          <w:rFonts w:cs="Times New Roman" w:ascii="Times New Roman" w:hAnsi="Times New Roman"/>
          <w:sz w:val="24"/>
          <w:szCs w:val="24"/>
        </w:rPr>
        <w:t>La presenza di asimmetria e incertezza informativa determina l'esistenza dei costi di agenzia, che rappresentano la differenza negativa di benessere che si verifica da passando dalla situazione ideale a quella reale. I costi di agenzia non possono essere eliminati, solo ridotto al minimo. Essi includono:</w:t>
      </w:r>
    </w:p>
    <w:p>
      <w:pPr>
        <w:pStyle w:val="Normal"/>
        <w:rPr>
          <w:rFonts w:ascii="Times New Roman" w:hAnsi="Times New Roman" w:cs="Times New Roman"/>
          <w:sz w:val="24"/>
          <w:szCs w:val="24"/>
        </w:rPr>
      </w:pPr>
      <w:r>
        <w:rPr>
          <w:rFonts w:cs="Times New Roman" w:ascii="Times New Roman" w:hAnsi="Times New Roman"/>
          <w:sz w:val="24"/>
          <w:szCs w:val="24"/>
        </w:rPr>
        <w:t>l. i costi sostenuti dal preponente per controllare il comportamento dell'agente (costi di controllo);</w:t>
      </w:r>
    </w:p>
    <w:p>
      <w:pPr>
        <w:pStyle w:val="Normal"/>
        <w:rPr>
          <w:rFonts w:ascii="Times New Roman" w:hAnsi="Times New Roman" w:cs="Times New Roman"/>
          <w:sz w:val="24"/>
          <w:szCs w:val="24"/>
        </w:rPr>
      </w:pPr>
      <w:r>
        <w:rPr>
          <w:rFonts w:cs="Times New Roman" w:ascii="Times New Roman" w:hAnsi="Times New Roman"/>
          <w:sz w:val="24"/>
          <w:szCs w:val="24"/>
        </w:rPr>
        <w:t>2. i costi sostenuti dall'agente per assicurare al preponente che A non prenderà decisioni contro gli interessi di P, o per assicurare a P che A rimborserà P se il suo comportamento danneggerà gli interessi di P (costi di rassicurazione); e</w:t>
      </w:r>
    </w:p>
    <w:p>
      <w:pPr>
        <w:pStyle w:val="Normal"/>
        <w:rPr>
          <w:rFonts w:ascii="Times New Roman" w:hAnsi="Times New Roman" w:cs="Times New Roman"/>
          <w:sz w:val="24"/>
          <w:szCs w:val="24"/>
        </w:rPr>
      </w:pPr>
      <w:r>
        <w:rPr>
          <w:rFonts w:cs="Times New Roman" w:ascii="Times New Roman" w:hAnsi="Times New Roman"/>
          <w:sz w:val="24"/>
          <w:szCs w:val="24"/>
        </w:rPr>
        <w:t>3. la residua perdita di benessere che si crea nella relazione, data l'impossibilità di conciliare gli interessi divergenti delle parti (perdita residua).</w:t>
      </w:r>
    </w:p>
    <w:p>
      <w:pPr>
        <w:pStyle w:val="Normal"/>
        <w:rPr>
          <w:rFonts w:ascii="Times New Roman" w:hAnsi="Times New Roman" w:cs="Times New Roman"/>
          <w:sz w:val="24"/>
          <w:szCs w:val="24"/>
        </w:rPr>
      </w:pPr>
      <w:r>
        <w:rPr>
          <w:rFonts w:cs="Times New Roman" w:ascii="Times New Roman" w:hAnsi="Times New Roman"/>
          <w:sz w:val="24"/>
          <w:szCs w:val="24"/>
        </w:rPr>
        <w:t>La letteratura sul governo societario sottolinea che le società possono essere influenzate da tre diversi tipi di problemi di agenzia: (i) il primo tipo di problema di agenzia è tra azionisti e top manager, (ii) il secondo tipo di problema di agenzia sorge tra gli azionisti di controllo e di minoranza e (iii) il terzo tipo di problema di agenzia è tra l'impresa (o i suoi azionisti) e gli stakeholder.</w:t>
      </w:r>
    </w:p>
    <w:p>
      <w:pPr>
        <w:pStyle w:val="Normal"/>
        <w:rPr>
          <w:rFonts w:ascii="Times New Roman" w:hAnsi="Times New Roman" w:cs="Times New Roman"/>
          <w:b/>
          <w:b/>
          <w:bCs/>
          <w:sz w:val="24"/>
          <w:szCs w:val="24"/>
        </w:rPr>
      </w:pPr>
      <w:r>
        <w:rPr>
          <w:rFonts w:cs="Times New Roman" w:ascii="Times New Roman" w:hAnsi="Times New Roman"/>
          <w:b/>
          <w:bCs/>
          <w:sz w:val="24"/>
          <w:szCs w:val="24"/>
        </w:rPr>
        <w:t>3.2.2 Il primo tipo di problema dell'agenzia</w:t>
      </w:r>
    </w:p>
    <w:p>
      <w:pPr>
        <w:pStyle w:val="Normal"/>
        <w:rPr>
          <w:rFonts w:ascii="Times New Roman" w:hAnsi="Times New Roman" w:cs="Times New Roman"/>
          <w:sz w:val="24"/>
          <w:szCs w:val="24"/>
        </w:rPr>
      </w:pPr>
      <w:r>
        <w:rPr>
          <w:rFonts w:cs="Times New Roman" w:ascii="Times New Roman" w:hAnsi="Times New Roman"/>
          <w:sz w:val="24"/>
          <w:szCs w:val="24"/>
        </w:rPr>
        <w:t>Le grandi società quotate negli Stati Uniti o nel Regno Unito sono caratterizzate da una struttura azionaria dispersa tra un gran numero di piccoli investitori. Molte ragioni spiegano questa situazione. Innanzitutto la ricchezza del singolo investitore è solitamente molto piccola rispetto all'ammontare del capitale sociale dell'azienda e di conseguenza può acquistare solo un numero limitato di azioni. I secondi individui facoltosi possono preferire limitare il loro investimento nel capitale azionario dell'azienda al fine di diversificare il rischio del proprio portafoglio. Infine, investitore può preferire acquistare una piccola quantità di azioni dell'azienda, in modo da poterle disinvestire facilmente e in un breve periodo. La dispersione della compagine societaria porta a due problemi che non esistono in un'impresa controllata da un unico azionista o da una coalizione di azionisti. Innanzitutto, la dispersione provoca una separazione tra proprietà e controllo, gli azionisti non fanno uso dei loro diritti di voto o di controllo residuo - né li utilizzano per ratificare le decisioni prese dal consiglio di amministrazione - a causa di problemi di azione collettiva e limitati incentivi al voto. A queste condizioni, gli azionisti delegano decisioni chiave della società al consiglio di amministrazione, che possono, tuttavia, essere ai sensi dell’influenza dominante dei top manager e in particolare dell'AD. Può succedere per diversi motivi, ad es. perché gli amministratori possono essere collegati all'Amministratore Delegato da professionisti o rapporti familiari, o semplicemente perché non hanno rapporti profondi e la dettagliata conoscenza dell'attività aziendale che hanno i top manager. In secondo luogo, l'entità limitata della loro partecipazione non incentiva gli investitori a farlo dedicare tempo e risorse sufficienti per controllare il top management dell'azienda. Il monitoraggio dell'attività è, infatti, un bene pubblico: l'azionista individuale sostiene tutti i costi delle attività di controllo, mentre qualsiasi beneficio derivante da essa (ad esempio, qualsiasi aumento del valore di mercato) è condiviso pro-quota da tutti gli azionisti. In queste condizioni, gli azionisti non lo faranno esercitare direttamente il controllo, nella speranza che altri azionisti lo facciano. In sintesi, quando la proprietà è dispersa, le due condizioni correlate sopra descritte (cioè, la separazione tra proprietà e contro), e gli incentivi deboli a portare attività fuori controllo) possono consentire ai vertici aziendali di perseguire i propri vantaggi personali a scapito degli interessi dei soci. Dal punto di vista dell'agente principale, gli azionisti sono il principale in quanto loro hanno diritti residui di controllo e l'amministratore delegato è l'agente in quanto gestisce l'attività per conto degli azionisti. Come in una relazione principale-agente, gli azionisti e gli amministratori delegati hanno interessi e informazioni diversi. I primi sono interessati creazione di valore per gli azionisti e mancanza di una conoscenza approfondita e dettagliata del business. Questi ultimi sono interessati ad aumentare i propri benefici personali (es. Compenso, prestigio, potere) e hanno una conoscenza approfondita e dettagliata del business. In una tale circostanza, c'è il rischio che il CEO persegua il proprio interesse a scapito della creazione di valore per gli azionisti. Il rapporto tra azionisti e top manager in società ampiamente detenute rappresenta il problema dell'agenzia di Tipo I, noto anche come il problema principale-agente.</w:t>
      </w:r>
    </w:p>
    <w:p>
      <w:pPr>
        <w:pStyle w:val="Normal"/>
        <w:rPr>
          <w:rFonts w:ascii="Times New Roman" w:hAnsi="Times New Roman" w:cs="Times New Roman"/>
          <w:b/>
          <w:b/>
          <w:bCs/>
          <w:sz w:val="24"/>
          <w:szCs w:val="24"/>
        </w:rPr>
      </w:pPr>
      <w:r>
        <w:rPr>
          <w:rFonts w:cs="Times New Roman" w:ascii="Times New Roman" w:hAnsi="Times New Roman"/>
          <w:b/>
          <w:bCs/>
          <w:sz w:val="24"/>
          <w:szCs w:val="24"/>
        </w:rPr>
        <w:t>3.2.3 Il secondo tipo di problema dell'agenzia</w:t>
      </w:r>
    </w:p>
    <w:p>
      <w:pPr>
        <w:pStyle w:val="Normal"/>
        <w:rPr>
          <w:rFonts w:ascii="Times New Roman" w:hAnsi="Times New Roman" w:cs="Times New Roman"/>
          <w:sz w:val="24"/>
          <w:szCs w:val="24"/>
        </w:rPr>
      </w:pPr>
      <w:r>
        <w:rPr>
          <w:rFonts w:cs="Times New Roman" w:ascii="Times New Roman" w:hAnsi="Times New Roman"/>
          <w:sz w:val="24"/>
          <w:szCs w:val="24"/>
        </w:rPr>
        <w:t>Al di fuori degli Stati Uniti e del Regno Unito, le grandi società quotate sono caratterizzate da una struttura proprietaria più concentrata. In un tale contesto, i grandi azionisti sono più potenti che nel contesto anglo-americano: di solito possiedono una partecipazione consistente sufficiente per consentire loro di influenzare le decisioni dell'assemblea degli azionisti, di nominare sé stessi oi loro rappresentanti (inclusi familiari, amici o consulenti) al consiglio di amministrazione, e ad assumere responsabilità manageriali nella società. Avere grandi azionisti o azionisti di controllo sembra una potenziale soluzione al problema agente principale. In primo luogo, possiedono un'ampia frazione dei diritti di flusso di cassa e quindi hanno un elevato interesse economico nell'aumentare il valore per gli azionisti. In secondo luogo, i grandi azionisti di controllo possono utilizzare i loro diritti di controllo residui per influenzare le decisioni più importanti dell'assemblea degli azionisti; partecipare attivamente al processo decisionale del consiglio di amministrazione; e, a volte, anche per svolgere un ruolo manageriale attivo ai vertici dell'azienda. Di conseguenza, la discrezione e l'opportunismo dei top manager sono fortemente limitati. Anche se questa sembra essere una situazione ideale per tutti gli azionisti, potrebbe non esserlo. Primo i piccoli investitori sono per lo più incapaci di influenzare le decisioni delle società e non hanno un incentivo a controllare le decisioni degli azionisti di grandi dimensioni per le stesse ragioni che abbiamo spiegato sopra per quanto riguarda le società ampiamente detenute. In secondo luogo, gli azionisti di controllo possono essere tentati di perseguire il proprio interesse, ad esempio promuovendo decisioni (come un aumento nella loro retribuzione come CEO) che distribuiscono loro tutti i benefici, mentre i costi sono condivisi proporzionalmente da tutti gli azionisti. Questo rischio aumenta in modo significativo se ci sono meccanismi che migliorano il controllo (vedi Capitolo 6), cioè meccanismi (come le azioni di classe o gruppi piramidali) che consentono ai grandi azionisti di avere un maggiore controllo dei diritti rispetto ai flussi di cassa. In questo caso, l'incentivo a deviare dall'azionista la creazione di valore è maggiore, poiché questi meccanismi riducono di molto i costi per i grandi azionisti qualsiasi aumento dei loro benefici personali. Dal punto di vista dell'agenzia, sia gli azionisti di controllo che gli azionisti di minoranza sono i principali dell'azienda, poiché possiedono il controllo residuo e i diritti sul flusso di cassa. Tuttavia, in questo rapporto principale-principale, gli azionisti grandi e di minoranza hanno interessi e informazioni differenti. Il primo - come l'agente nel problema dell'agente - principale: sono interessati ad aumentare i loro benefici personali e avere una conoscenza approfondita e dettagliata del business. Questi ultimi sono interessati alla creazione di valore per gli azionisti e mancano di una conoscenza approfondita e dettagliata del business. In tale circostanza sussiste il rischio che gli azionisti di controllo perseguano il proprio interesse proprio, a scapito dei soci di minoranza e creino di valore - socio. Il rapporto tra azionisti di controllo e minoranza rappresenta il problema di agenzia di tipo II, noto anche come problema principale-principale.</w:t>
      </w:r>
    </w:p>
    <w:p>
      <w:pPr>
        <w:pStyle w:val="Normal"/>
        <w:rPr>
          <w:rFonts w:ascii="Times New Roman" w:hAnsi="Times New Roman" w:cs="Times New Roman"/>
          <w:b/>
          <w:b/>
          <w:bCs/>
          <w:sz w:val="24"/>
          <w:szCs w:val="24"/>
        </w:rPr>
      </w:pPr>
      <w:r>
        <w:rPr>
          <w:rFonts w:cs="Times New Roman" w:ascii="Times New Roman" w:hAnsi="Times New Roman"/>
          <w:b/>
          <w:bCs/>
          <w:sz w:val="24"/>
          <w:szCs w:val="24"/>
        </w:rPr>
        <w:t>3.2.4 Il terzo tipo di problema dell'agenzia</w:t>
      </w:r>
    </w:p>
    <w:p>
      <w:pPr>
        <w:pStyle w:val="Normal"/>
        <w:rPr>
          <w:rFonts w:ascii="Times New Roman" w:hAnsi="Times New Roman" w:cs="Times New Roman"/>
          <w:sz w:val="24"/>
          <w:szCs w:val="24"/>
        </w:rPr>
      </w:pPr>
      <w:r>
        <w:rPr>
          <w:rFonts w:cs="Times New Roman" w:ascii="Times New Roman" w:hAnsi="Times New Roman"/>
          <w:sz w:val="24"/>
          <w:szCs w:val="24"/>
        </w:rPr>
        <w:t>I due problemi di agenzia che abbiamo appena presentato riguardano la potenziale espropriazione di azionisti di minoranza da parte di top manager (Tipo I) o da parte di azionisti di controllo (Tipo II). Tuttavia, gli azionisti di minoranza non sono gli unici stakeholder che possono essere espropriati dai top manager o dagli azionisti di controllo. Un terzo tipo di problema dell'agenzia riguarda il conflitto di interessi tra l'impresa oi suoi azionisti, da un lato, e gli stakeholder (ad esempio, creditori, dipendenti, fornitori e clienti) che forniscono contributi all'azienda, dall'altro. Se passiamo dalla creazione di valore dell’azionista alla creazione di valore degli stakeholder, possiamo affermare che l'impresa - come l'agente del modello principale-agente - non dovrebbe comportarsi in modo opportunistico nei confronti i vari stakeholder. Gli azionisti possono prendere diverse decisioni volte a perseguire i propri interessi personali a scapito degli interessi degli altri stakeholder. Possono, ad esempio, chiudere uno stabilimento di produzione in un'area in cui sia i fornitori che i dipendenti non ne avranno altre alternative, o può esacerbare il rischio finanziario implicito nell'impianto strategico, quindi esponendo i detentori del debito a potenziali perdite impreviste. Il conflitto di interessi è particolarmente evidente nel caso dei fornitori di risorse finanziarie, dal momento che gli azionisti e i titolari di debito hanno diritti diversi sui beni e sul reddito della società. I debitori ricevono un pagamento di interessi periodici (fissi o variabili) e il rimborso del loro capitale. Perché non ricevono il reddito residuo, preferiscono investimenti a basso rischio e a basso rendimento. Gli azionisti, invece, mirano ad aumentare il valore delle azioni e, per questo motivo, potrebbero essere tentati di perseguire investimenti ad alto rendimento. Il conflitto di interessi tra azionisti e creditori è particolarmente ampio quando le aziende sono altamente indebitate. Una prima conseguenza negativa per i titolari di debito è il problema della sostituzione degli asset, ovvero la tendenza degli azionisti di società con leva finanziaria a sostituire le attività a basso rischio e a basso rendimento con ad alto rischio e quelli di grande ritorno. Se la società è fortemente indebitata, gli azionisti - o anche i manager con incentivi azionari ad alto potenziale - sono stati incentivati ​​ad intraprendere attività molto rischiose investimenti. In caso di risultati favorevoli, si appropriano completamente del plusvalore creato, mentre i debitori ricevono il tasso di interesse concordato. In caso di risultati sfavorevoli, gli azionisti possono perdere il proprio capitale, ma una buona parte delle perdite è pervenuta ai titolari di debito. In altre parole, la maggiore rischiosità dei flussi di cassa comporta a trasferimento di ricchezza dai titolari di debito agli azionisti. Un secondo problema legato all'eccessivo peso del debito finanziario si verifica quando l'azienda, nonostante abbia progetti di investimento futuri con un ritorno positivo, lo fa non aveva sufficiente liquidità per pagare il suo debito in scadenza. Questa situazione genera il cosiddetto eccesso del debito, ovvero l'incapacità di finanziare una società altamente indebitata con ulteriori investimenti redditizi. L'eccesso di debito limita le opportunità di finanziamento e di investimento dell'azienda, perché chi fornisce nuove risorse finanziari e temono che parte delle loro risorse possano essere utilizzate per soddisfare gli interessi degli attuali titolari del debito. Quando i fornitori di debito decidono se finanziare un investimento, non valutano il suo flusso di cassa futuro, ma solo la parte di quel flusso di cassa che i gestori possono generare e pagare in questa situazione, la società potrebbe non essere in grado di realizzare ulteriori progetti di investimento che hanno un valore attuale netto positivo, se il valore attuale netto del reddito imponibile di tali progetti è negativo. Il problema dell'eccedenza del debito è grave e può essere superato solo attraverso la riprogrammazione del debito, ovvero se gli attuali creditori della società accettano di ridurre i rendimenti a cui hanno diritto per investitori per fornire all'azienda nuove risorse finanziarie. Tali operazioni sono difficili da eseguire quando il numero dei creditori è molto elevato.</w:t>
      </w:r>
    </w:p>
    <w:p>
      <w:pPr>
        <w:pStyle w:val="Normal"/>
        <w:rPr>
          <w:rFonts w:ascii="Times New Roman" w:hAnsi="Times New Roman" w:cs="Times New Roman"/>
          <w:b/>
          <w:b/>
          <w:bCs/>
          <w:sz w:val="24"/>
          <w:szCs w:val="24"/>
        </w:rPr>
      </w:pPr>
      <w:r>
        <w:rPr>
          <w:rFonts w:cs="Times New Roman" w:ascii="Times New Roman" w:hAnsi="Times New Roman"/>
          <w:b/>
          <w:bCs/>
          <w:sz w:val="24"/>
          <w:szCs w:val="24"/>
        </w:rPr>
        <w:t>3.2.5 I vantaggi privati del controllo</w:t>
      </w:r>
    </w:p>
    <w:p>
      <w:pPr>
        <w:pStyle w:val="Normal"/>
        <w:rPr>
          <w:rFonts w:ascii="Times New Roman" w:hAnsi="Times New Roman" w:cs="Times New Roman"/>
          <w:sz w:val="24"/>
          <w:szCs w:val="24"/>
        </w:rPr>
      </w:pPr>
      <w:r>
        <w:rPr>
          <w:rFonts w:cs="Times New Roman" w:ascii="Times New Roman" w:hAnsi="Times New Roman"/>
          <w:sz w:val="24"/>
          <w:szCs w:val="24"/>
        </w:rPr>
        <w:t>Chiunque controlli un'azienda, ovvero i top manager di società ampiamente detenute o gli azionisti di controllo di società con proprietà concentrata possono prendere decisioni volte a massimizzare i propri benefici, anche a scapito della finlandese e dei suoi stakeholder (soprattutto i suoi azionisti). In termini formali, coloro che controllano un'impresa godono dei benefici privati ​​del controllo, cioè il non monetario (psicologico)ei benefici monetari (economici) del controllo di una società, che non sono condivisi con gli azionisti o altre parti interessate. I benefici privati ​​non monetari del controllo riguardano, ad esempio, la possibilità di sviluppare relazioni personali con persone potenti e di acquisire rapporti sociali prestigio grazie alla posizione ricoperta all'interno dell'azienda. Questo vantaggio è particolarmente elevato nelle imprese familiari, poiché coloro che controllano l'azienda ne traggono vantaggi personali continuare una tradizione familiare o assumere membri della famiglia in posizioni di rilievo. Inoltre, questo vantaggio è particolarmente elevato quando l'azienda ha un'elevata visibilità pubblica, come nel caso di società sportive, società di media o aziende con marchi famosi. I benefici monetari privati ​​del controllo sono vantaggi economici. Diversi meccanismi consentono a chi controlla l'impresa di espropriare o estrarre affitti a spese degli azionisti, dell'azienda e dei suoi stakeholder. Prima di tutto, possono ottenere regimi di compensazione molto generosi (ad esempio, salari, bonus o incentivi a lungo termine). In secondo luogo, possono vendere beni aziendali a prezzi inferiori a quelli di mercato a terzi che lo siano sotto la loro influenza (o possono acquistare beni dalle stesse terze parti a prezzi superiori a quelli di mercato). Queste operazioni, note come operazioni di autodisciplina o con parti correlate, avvantaggiano loro, in quanto la terza parte che ottiene un vantaggio economico dallo scambio, è di proprietà di loro, dei loro familiari o amici. Quelli che controllare l'azienda può anche impiegare risorse aziendali per acquistare beni - come jet aziendali, uffici di lusso, ville o iscrizioni a club - che usano per affari e scopi privati​​ (consumo di benefici). Possono anche realizzare grandi progetti di investimento (come operazioni di fusione e acquisizione) volti ad aumentare le dimensioni dell'azienda (impero edilizia), anche a scapito della sua redditività o valore di mercato, poiché le società più grandi sono associate a maggiori compensi, prestigio e potere. Chi controlla un'azienda, soprattutto se di grandi dimensioni, può aumentare anche la propria partecipazione obbligando gli investitori di minoranza a vendere le proprie azioni (in gergo congelare o spremere), diluendo gli azionisti di minoranza attraverso aumenti di capitale, o acquistando piccole quantità di azioni sul mercato. Possono anche trasportare svolgere proficue operazioni di insider trading sfruttando informazioni privilegiate (ad esempio, su grandi affari o risultati negativi o positivi inattesi), nel ruolo di azionisti di controllo, membri del consiglio o top manager. Infine, i top manager possono fare investimenti, redditizi o meno, la cui gestione efficace richiede le loro capacità e competenze personali, al fine di aumentare il proprio valore per l'azienda e di conseguenza riducendo il rischio di essere sostituito (trinceramento). I benefici privati del controllo, soprattutto quando implicano l'espropriazione azionisti di minoranza e stakeholder, aumentare il costo delle risorse finanziarie e ridurre la capacità dell'azienda di attirarli. Gli studiosi hanno cercato di misurarli calcolando o il premio pagato in caso di cambio di controllo o la differenza in valore tra azioni con diritto di voto e azioni senza diritto di voto (cfr. riquadro 3.2).</w:t>
      </w:r>
    </w:p>
    <w:p>
      <w:pPr>
        <w:pStyle w:val="Normal"/>
        <w:rPr>
          <w:rFonts w:ascii="Times New Roman" w:hAnsi="Times New Roman" w:cs="Times New Roman"/>
          <w:b/>
          <w:b/>
          <w:bCs/>
          <w:sz w:val="24"/>
          <w:szCs w:val="24"/>
        </w:rPr>
      </w:pPr>
      <w:r>
        <w:rPr>
          <w:rFonts w:cs="Times New Roman" w:ascii="Times New Roman" w:hAnsi="Times New Roman"/>
          <w:b/>
          <w:bCs/>
          <w:sz w:val="24"/>
          <w:szCs w:val="24"/>
        </w:rPr>
        <w:t>Riquadro 3.2 Come misurare i benefici privati del controllo</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I vantaggi privati ​​del controllo sono di grande importanza per la governance, ma anche difficili da identificare e misurare. I soggetti che controllano l'azienda cercano di ridurre al minimo il rischio di essere scoperti estraggono valore monetario o non monetario per sé stessi, in modo da evitare attacchi legali da parte delle parti interessate espropriate. Esistono fondamentalmente due metodi empirici per misurare i benefici monetari privati ​​del controllo. La prima consiste nella misurazione del premio per il controllo pagato quando qualcuno acquista la partecipazione di controllo di una società quotata. In questo caso, il prezzo pagato per il controllo misura tutti i benefici (pubblico e privato) di cui godono coloro che controllano la società, mentre il prezzo di mercato delle azioni misura i flussi di cassa attesi dagli azionisti in futuro. Di conseguenza, la differenza tra i due valori misura i benefici privati ​​del controllo. Il secondo metodo consiste nel misurare la differenza di valore di due classi di azioni distessa società, caratterizzata da diritti di voto diversi. Nel caso di un'azienda con due tipologie delle azioni, una con diritto di voto e una senza diritto di voto, può essere calcolato il valore dei diritti di voto misurando il differenziale di prezzo di mercato tra le due classi di azioni. Il valore del voto i diritti sono una misura dei benefici privati ​​del controllo poiché il valore di tali voti diventa rilevante e può essere incassato solo quando la posizione di controllo è contestabile. In questo metodo, se le azioni senza diritto di voto godono di privilegi economici speciali, il valore di tali privilegi deve essere considerato nel calcolo del valore dei diritti di voto. Il valore dei benefici privati ​​del controllo varia notevolmente da paese a paese. È particolarmente alto nelle economie emergenti come Argentina, Colombia, Israele, Messico e Turchia ed è relativamente basso in economie industrializzate come Australia, Canada, Giappone, Paesi Bassi, Norvegia, Singapore, Regno Unito e Stati Uniti. I vantaggi privati ​​del controllo sono negativamente associati alle dimensioni dei mercati capitai, alla qualità dei principi contabili, alla protezione degli investitori e all'applicazione della legge, mentre sono positivamente associato alla concentrazione della proprietà.</w:t>
      </w:r>
    </w:p>
    <w:p>
      <w:pPr>
        <w:pStyle w:val="Normal"/>
        <w:rPr>
          <w:rFonts w:ascii="Times New Roman" w:hAnsi="Times New Roman" w:cs="Times New Roman"/>
          <w:b/>
          <w:b/>
          <w:bCs/>
          <w:sz w:val="24"/>
          <w:szCs w:val="24"/>
        </w:rPr>
      </w:pPr>
      <w:r>
        <w:rPr>
          <w:rFonts w:cs="Times New Roman" w:ascii="Times New Roman" w:hAnsi="Times New Roman"/>
          <w:b/>
          <w:bCs/>
          <w:sz w:val="24"/>
          <w:szCs w:val="24"/>
        </w:rPr>
        <w:t>3.3 Possibili rimedi ai problemi dell'agenzia</w:t>
      </w:r>
    </w:p>
    <w:p>
      <w:pPr>
        <w:pStyle w:val="Normal"/>
        <w:rPr>
          <w:rFonts w:ascii="Times New Roman" w:hAnsi="Times New Roman" w:cs="Times New Roman"/>
          <w:sz w:val="24"/>
          <w:szCs w:val="24"/>
        </w:rPr>
      </w:pPr>
      <w:r>
        <w:rPr>
          <w:rFonts w:cs="Times New Roman" w:ascii="Times New Roman" w:hAnsi="Times New Roman"/>
          <w:sz w:val="24"/>
          <w:szCs w:val="24"/>
        </w:rPr>
        <w:t>I problemi dell'agenzia e i relativi vantaggi privati ​​del controllo interessano tutte le società quotate e, in generale, tutte le aziende che hanno più di un azionista o stakeholder che forniscono contributi critici. Per ridurre al minimo i problemi di agenzia, le aziende dovrebbero progettare meccanismi di corporate governance volti a limitare o la discrezione dei top manager nel perseguire i propri interessi personali a scapito dell'azienda e i suoi stakeholder. I meccanismi di governo societario possono essere classificati in vari modi. Una prima classificazione distingue tra meccanismi di governance esterni e interni: i meccanismi esterni includono mercati, leggi e regolamenti o soggetti esterni controllare il comportamento dell'azienda; i meccanismi interni sono costituiti da organi della società o attori di governo. Una seconda classificazione distingue tra meccanismi di monitoraggio o allineamento: i meccanismi di monitoraggio sono volti a guidare o controllare comportamenti e decisioni; i meccanismi di allineamento mirano a incentivare i comportamenti e le decisioni attese. Sebbene entrambe le classificazioni forniscano utili spunti, nelle pagine seguenti si presentano i principali meccanismi di governo societario interno ed esterno rilevanti, evidenziandone gli obiettivi, il funzionamento, l'efficacia nel disciplinare il comportamento degli azionisti di controllo o dei top manager. Il governo d'impresa i meccanismi inclusi in queste due classi e qui presentati sono:</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Meccanismi esterni: il mercato del controllo aziendale, il mercato del lavoro manageriale, la tutela degli investitori, i doveri fiduciari degli amministratori, i codici di buona governance, revisori esterni, agenzie di rating e media;</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Meccanismi Interni: grandi azionisti, consiglio di amministrazione, piani di incentivazione, sistemi di controllo interni e un debito finanziario elevato.</w:t>
      </w:r>
    </w:p>
    <w:p>
      <w:pPr>
        <w:pStyle w:val="Normal"/>
        <w:rPr>
          <w:rFonts w:ascii="Times New Roman" w:hAnsi="Times New Roman" w:cs="Times New Roman"/>
          <w:b/>
          <w:b/>
          <w:bCs/>
          <w:sz w:val="24"/>
          <w:szCs w:val="24"/>
        </w:rPr>
      </w:pPr>
      <w:r>
        <w:rPr>
          <w:rFonts w:cs="Times New Roman" w:ascii="Times New Roman" w:hAnsi="Times New Roman"/>
          <w:b/>
          <w:bCs/>
          <w:sz w:val="24"/>
          <w:szCs w:val="24"/>
        </w:rPr>
        <w:t>3.3.1 Meccanismi di governance esterna</w:t>
      </w:r>
    </w:p>
    <w:p>
      <w:pPr>
        <w:pStyle w:val="Normal"/>
        <w:rPr>
          <w:rFonts w:ascii="Times New Roman" w:hAnsi="Times New Roman" w:cs="Times New Roman"/>
          <w:sz w:val="24"/>
          <w:szCs w:val="24"/>
        </w:rPr>
      </w:pPr>
      <w:r>
        <w:rPr>
          <w:rFonts w:cs="Times New Roman" w:ascii="Times New Roman" w:hAnsi="Times New Roman"/>
          <w:sz w:val="24"/>
          <w:szCs w:val="24"/>
        </w:rPr>
        <w:t>I meccanismi di governance esterna includono: (i) due mercati chiave: il mercato per il controllo aziendale e il mercato del lavoro manageriale, dove vengono scambiate risorse chiave come il controllo della partecipazione azionaria e le competenze dei top manager; (ii) tre elementi chiave del contesto istituzionale legale - rappresentato dalla tutela degli investitori, dai doveri fiduciari degli amministratori e dai codici di buona governance - finalizzato alla tutela degli interessi degli azionisti e degli stakeholder; e (iii) tre meccanismi: revisori esterni, agenzie di rating e media – volta verificare il comportamento aziendale e fornire informazioni utili a investitori e stakeholder.</w:t>
      </w:r>
    </w:p>
    <w:p>
      <w:pPr>
        <w:pStyle w:val="Normal"/>
        <w:rPr>
          <w:rFonts w:ascii="Times New Roman" w:hAnsi="Times New Roman" w:cs="Times New Roman"/>
          <w:sz w:val="24"/>
          <w:szCs w:val="24"/>
        </w:rPr>
      </w:pPr>
      <w:r>
        <w:rPr>
          <w:rFonts w:cs="Times New Roman" w:ascii="Times New Roman" w:hAnsi="Times New Roman"/>
          <w:sz w:val="24"/>
          <w:szCs w:val="24"/>
        </w:rPr>
        <w:t>Il mercato del controllo aziendale</w:t>
      </w:r>
    </w:p>
    <w:p>
      <w:pPr>
        <w:pStyle w:val="Normal"/>
        <w:rPr>
          <w:rFonts w:ascii="Times New Roman" w:hAnsi="Times New Roman" w:cs="Times New Roman"/>
          <w:sz w:val="24"/>
          <w:szCs w:val="24"/>
        </w:rPr>
      </w:pPr>
      <w:r>
        <w:rPr>
          <w:rFonts w:cs="Times New Roman" w:ascii="Times New Roman" w:hAnsi="Times New Roman"/>
          <w:sz w:val="24"/>
          <w:szCs w:val="24"/>
        </w:rPr>
        <w:t>Il mercato del controllo aziendale dovrebbe attribuire a questi la partecipazione di controllo che assegnano un maggiore valore alle azioni dell'azienda, perché sono fiduciosi di gestire l'azienda in modo più efficiente rispetto agli attuali azionisti o dirigenti. Questo mercato di solito diventa attivo quando la società non riesce a raggiungere una performance del titolo soddisfacente per un periodo determinato. In queste circostanze, una società o un investitore può decidere di acquistare controllo dell'azienda al fine di cambiare il vertice aziendale e sviluppare una strategia migliore per migliorare le prestazioni dell'azienda. La riallocazione del controllo aziendale può avvenire attraverso tre diversi meccanismi: lotte per procura, fusioni o acquisizioni amichevoli o acquisizioni ostili. I rapporti di delega di solito si verificano quando un azionista della società, insoddisfatto delle prestazioni dell'azienda e il comportamento passivo del consiglio di amministrazione, presenta un elenco di candidati diverso da quello proposto dal consiglio e cerca di convincere gli altri azionisti di votare per la sua lista. Questo metodo di riallocazione del controllo aziendale non è comune, perché può essere in gran parte inefficace per vari motivi. In primo luogo, un problema di "free rider" o di "azione collettiva" può scoraggiare il singolo investitore dal lanciare una lotta per procura, anche quando potrebbe migliorare le prestazioni dell'azienda. In questa circostanza si pone come azionista dissidente un problema di "free rider" deve sostenere, a proprie spese, il costo iniziale per identificare un deficit di rendimento e avviare la lotta per procura; mentre, se la sua azione ha successo e la performance della società migliora, tutti gli azionisti beneficiano pro-quota dall'aumento della quota valore. In secondo luogo, anche dopo l'inizio della lotta per delega, gli azionisti di minoranza hanno limitato gli incentivi a partecipare al voto, perché i loro pochi voti sono irrilevanti per influenzare la nomina dei membri del consiglio. Inoltre, la maggior parte degli azionisti è idoneo a corroborare la lista avanzata dal consiglio, salvo che gli amministratori abbiano commesso gravi errori gestionali o commesso reati societari. Infine, il diritto societario può consentire ai membri del consiglio di utilizzare i fondi dell'azienda per promuovere il proprio elenco di amministratori, in modo da aumentare le loro possibilità di vittoria. Per tutti questi motivi, i combattimenti per procura hanno mai stato particolarmente diffuso, anche in paesi con società quotate ampiamente detenute. Per quanto riguarda gli Stati Uniti, nel periodo di massimo splendore delle acquisizioni ostili (tra il 1979 e il1994), c'era una media annuale di 17 lotte per procura, con un picco di 37 nel 1989, solitamente seguito dal lancio di un'offerta pubblica di acquisto. In paesi con alta concentrazione di partecipazioni, sono ancora più rare, poiché la maggioranza dei voti degli azionisti è nelle mani di azionisti di grandi dimensioni o di controllo. Come vedremo, questa situazione è parzialmente cambiata a causa del crescente attivismo degli investitori istituzionali. Fusioni e acquisizioni amichevoli o acquisizioni ostili, a differenza delle lotte per procura, danno chi sostiene il costo di riallocare al controllo un'elevata frazione del potenziale vantaggi economici. Questi meccanismi, in particolare le acquisizioni ostili, sono radicali e costosi metodi di riallocazione del controllo e, per questo motivo, anche poco diffuso, anche all'interno dell'economia statunitense. Con un'acquisizione ostile, il predone lancia un'offerta pubblica di acquisto, su tutti o su un grande frazione di azioni della società, a prezzo fisso. Se l'operazione va a buon fine, il raider acquista il controllo dell'azienda e, con esso, la possibilità di nominare gli amministratori e l'amministratore delegato. Al fine di ottenere il controllo dell'azienda e di ottenere la plusvalenza derivante dal miglioramento delle prestazioni dell'azienda, il raider deve superare alcuni ostacoli. Un primo problema è la possibilità che gli azionisti di minoranza non aderiscano all'offerta, non essendo attratti dalla possibilità di guadagno una quota proporzionale del guadagno pro capite. È probabile che questo comportamento si verifichi perché chi possiede una piccola partecipazione percepisce di non poter influenzare il risultato finale e, di conseguenza, hanno un incentivo a mantenere le loro azioni in arder per trarre profitto dal loro successivo aumento di valore. Se ogni azionista si comporta in questo modo, e le leggi non permettono al raider di spremere gli azionisti di minoranza che non aderiscono all'offerta, l'acquirente trasferirà l'intera plusvalenza agli attuali azionisti dell'azienda. In questo caso, il potenziale acquirente non avrebbe alcun interesse a eseguire l'operazione perché, se tiene conto dei costi necessari per intraprenderla, essa risulterebbe una perdita netta. Un secondo fattore che può ridurre il guadagno capitai del predone è la possibilità di fronteggiare concorrenza di altri potenziali offerenti. L'annuncio di un'offerta pubblica di acquisto può indicare ad altre società e investitori che la società target è sottovalutata, o l'offerta pubblica di acquisto può indurre i top manager dell'azienda target a invitare un'altra società o un investitore (cavaliere bianco) per lanciare un'offerta pubblica di acquisto concorrente e favorirla condividendola informazioni confidenziali. Una battaglia per il controllo aziendale può far salire il prezzo di società al punto da annullare il profitto del predone. Infine, il raider potrebbe dover affrontare la concorrenza della direzione dell'azienda, che può avvenire in diversi modi. In primo luogo, la direzione può dichiarare pubblicamente la propria intenzione di intraprendere un piano di ristrutturazione per aumentare l'efficienza e il valore delle azioni dell'azienda. Al fine di convincere gli azionisti della volontà di aumentare il valore per gli azionisti, i top manager possono effettuare immediatamente operazioni finanziarie che ad esempio, la vendita di attività non redditizie o un aumento della leva finanziaria. Una seconda difesa utilizzata dai manager è l'inclusione di alcune clausole anti-acquisizione nello statuto della società, il cui obiettivo è aumentare il casto ritardare gli effetti dell'acquisizione. Le clausole anti-acquisizione più comuni utilizzate a parte delle aziende includono: (l) una disposizione che richiede una maggioranza superiore al 50%dei diritti di voto, in caso di tentativi di acquisizione del controllo societario (emendamenti a maggioranza assoluta); (2) una regola che stabilisce un turnover graduale e scaglionato dei membri del consiglio (schede sfalsate); (3) una regola che richiede al raider di acquistare tutto ciò che è in sospeso, cioè azioni allo stesso prezzo dell'offerta pubblica di acquisto (modifiche al prezzo equo); e (4) la possibilità di offrire nuove azioni a un prezzo piuttosto basso agli azionisti della società(escluso il raider), nel caso in cui un investitore superi una certa frazione delazioni (pillole avvelenate). L'effetto di queste strategie sulla ricchezza degli azionisti della società target è difficile da stimare perché, da una parte, aumentano il valore delle azioni, costringendo il predatore a migliorare l'offerta; d'altra parte, riducono il profitto del potenziale predone, diminuendo così anche la probabilità dell'acquisizione (cfr. riquadro 3.3).</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b/>
          <w:b/>
          <w:bCs/>
          <w:sz w:val="24"/>
          <w:szCs w:val="24"/>
        </w:rPr>
      </w:pPr>
      <w:r>
        <w:rPr>
          <w:rFonts w:cs="Times New Roman" w:ascii="Times New Roman" w:hAnsi="Times New Roman"/>
          <w:b/>
          <w:bCs/>
          <w:sz w:val="24"/>
          <w:szCs w:val="24"/>
        </w:rPr>
        <w:t>Riquadro 3.3 Acquisizioni ostili</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Studi empirici sulle acquisizioni hanno dimostrato che un tale meccanismo di riallocazione del controllo aziendale, nonostante sia stato ampiamente pubblicizzato dai media, è relativamente raro anche negli Stati Uniti. Durante gli anni '80, il periodo di maggiore diffusione, le acquisizioni hanno coinvolto poco più dell'1,5%Società quotate negli Stati Uniti. Anche le acquisizioni ostili sono state meno comuni delle acquisizioni amichevoli e, negli anni '80 non hanno mai superato il 30% delle operazioni di successo. Alcuni studi empirici hanno indagato se le acquisizioni ostili abbiano effettivamente portato a un miglioramento dell'efficienza e delle prestazioni dell'azienda target. I risultati mostrano che la condivisione. I titolari della società target hanno ottenuto premi piuttosto consistenti, circa il 25-30 % rispetto al prezzo di mercato e che il loro premio è maggiore quando l'acquisizione è ostile. D’altro canto, la plusvalenza per gli azionisti della società incorporante e, in generale, l'incremento complessivo del valore di mercato indotto dall'operazione è pari a circa zero. Questo risultato lascia spazio a cose diverse interpretazioni: alcuni commentatori sostengono che le acquisizioni correggano le inefficienze caratterizzanti il mercato azionario (miopia di mercato), mentre altri commentatori sostengono di effettuare un trasferimento di ricchezza dagli azionisti della società offerente, o dagli stakeholder dell’acquisita società, agli azionisti della società acquisita e ai consulenti (es. banche d'affari, consulenti strategici, revisori esterni e legali societari) coinvolti nell'operazione.</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Fonti: adattato da Andrade, G., Mitchell, M. e Stafford, E., "New Evidence and perspectives on mergers, / journal of Economic Perspectives, 15, 2001, 103-120; Comment, R., and Schwert, GW, "Veleno o placebo. Prove sugli effetti deterrenti e sulla ricchezza delle moderne misure anti-acquisizione, "Journal of Financial di Economia, 39 • 1995 • 3-43; Schwert, G.W., "Ostilità nelle acquisizioni: agli occhi di chi guarda?" Rivista •Finance, 55, 2000, 2599-2640; Shleifer, A., e Summers, L., "Breach of trust in acquisizione ostile ", In AuerBach, A. (a cura di), Acquisizioni aziendali: cause e conseguenze, Chicago, University of Chicago Press, 1988</w:t>
      </w:r>
    </w:p>
    <w:p>
      <w:pPr>
        <w:pStyle w:val="Normal"/>
        <w:rPr>
          <w:rFonts w:ascii="Times New Roman" w:hAnsi="Times New Roman" w:cs="Times New Roman"/>
          <w:sz w:val="24"/>
          <w:szCs w:val="24"/>
        </w:rPr>
      </w:pPr>
      <w:r>
        <w:rPr>
          <w:rFonts w:cs="Times New Roman" w:ascii="Times New Roman" w:hAnsi="Times New Roman"/>
          <w:sz w:val="24"/>
          <w:szCs w:val="24"/>
        </w:rPr>
        <w:t>Il mercato del lavoro manageriale</w:t>
      </w:r>
    </w:p>
    <w:p>
      <w:pPr>
        <w:pStyle w:val="Normal"/>
        <w:rPr>
          <w:rFonts w:ascii="Times New Roman" w:hAnsi="Times New Roman" w:cs="Times New Roman"/>
          <w:sz w:val="24"/>
          <w:szCs w:val="24"/>
        </w:rPr>
      </w:pPr>
      <w:r>
        <w:rPr>
          <w:rFonts w:cs="Times New Roman" w:ascii="Times New Roman" w:hAnsi="Times New Roman"/>
          <w:sz w:val="24"/>
          <w:szCs w:val="24"/>
        </w:rPr>
        <w:t>I servizi dei manager sono offerti nel mercato del lavoro manageriale. Questo mercato valuta le competenze e le abilità possedute dai manager misurando le prestazioni attuali delle società o delle unità organizzative che gestiscono. L'efficienza del mercato del lavoro manageriale è quindi influenzata sia dalla qualità dell'informazione divulgata dalle compagnie, e dall'efficienza del mercato azionario, che misura il valore delle azioni delle imprese e quindi, indirettamente, la qualità dei suoi top manager. Le aziende che vogliono assumere nuovi manager utilizzano i track record dei manager-i. e., le prestazioni dei loro team o aziende - per valutare il loro talento e per stabilire il loro compensazione. Allo stesso tempo, le aziende regolano la retribuzione dei manager - alla luce disia le loro capacità manageriali e di leadership, sia i loro risultati (passati e attuali) – ad evitare di perdere i loro servizi se ricevono migliori offerte di mercato. I manager desiderano lavorare per aziende che forniscono loro le migliori opportunità e compensi. Sono consapevoli che le prestazioni attuali e passate delle unità organizzative che presiedono rappresentano la misura migliore delle loro capacità e talenti. Per questo motivo, sono motivati ​​ad aumentare le prestazioni di entrambe le loro squadre e possono considerare di lasciare la loro azienda se non vedono come aumentare la prestazione. Il mercato gestionale del lavoro può essere più o meno efficiente. Un recente studio ha esaminato se una pratica non etica, i. e., retrodatazione delle stock option (che sta alterando i dati di assegnazione di una stock option pian a una data precedente in cui il prezzo dell'azione è più basso) attuato da 141 aziende statunitensi ha portato ad un turnover dei top manager, e ad una penalizzazione da parte dei manager del mercato del lavoro. I risultati mostrano che: (i) queste società ha forzato il turnover di CEO e CFO, soprattutto quando la performance dell'azienda era scarsa, il CEO non era il fondatore; e (ii) questi dirigenti hanno dovuto affrontare problemi durante la riassunzione, soprattutto quando erano più potenti (cioè erano sia amministratori delegati che presidenti), o non erano i fondatori. Così, almeno negli Stati Uniti, il mercato manageriale del lavoro sembra poter penalizzare i top manager che non si sono comportati bene. I diritti di azionista e i titolari di debito differiscono significativamente tra i paesi, a causa dileggi e applicazione differenti. I diritti di Azionista includono il diritto di ricevere un flusso di informazioni e dividendi pro-quota, per convocare e partecipare alle assemblee degli azionisti, votare per l'elezione degli amministratori e per l'approvazione delle decisioni importanti (come modifiche statutarie, operazioni societarie importanti, oggetto sociale, aumenti di capitale, la liquidazione), per citare in giudizio gli amministratori e così via. Allo stesso tempo, i titolari di debito hanno entrambi il diritto a ricevere pagamenti periodici fissi e rimborsi, e ulteriori diritti contrattuali che danno loro un certo controllo sulle attività aziendali nel caso in cui i mutuatari infrangono i loro patti - cioè, patti affermativi o positivi che obbligano i mutuatari ad eseguire alcune azioni (come mantenere le attività sottostanti o disporre di risorse finanziarie con dichiarazioni controllate) e clausole restrittive o passive che impediscono ai mutuatari di eseguire azioni (come non superare un determinato debito alla soglia del patrimonio netto o non vendere alcune attività).I diritti degli azionisti e dei detentori di titoli diventano fondamentali quando i manager perseguono i propri interessi ai propri interessi a proprie spese e la condizione finanziaria dell'azienda è in pericolo. La forza di questi diritti è determinata dalle norme legali del paese in cui vengono emessi i titoli. I sistemi giuridici nazionali appartengono a una delle due tradizioni: legge comune elegge civile. La tradizione di legge comune include la legge inglese e quei sistemi modellati su di essa; la tradizione del diritto civile è composta da tre famiglie legali: la francese, la tedesca e la scandinava. Nei paesi di legge comune, la legge è il risultato di decisioni giudiziarie volte a risolvere casi specifici applicando principi generali. Queste decisioni giudiziarie sono trattate come precedenti e vengono applicate dai giudici a nuove situazioni in cui la legge non è ancora chiara. Nei paesi di diritto civile, invece, la legge ha origine dal diritto romano e si basa su codici legali completi. In questi paesi, i giudici valutano i fatti specifici e poi applicano le disposizioni del codice che li regolano. Secondo il punto di vista legale e finanziario, l'origine legai influisce sulla forza della protezione degli investitori (ad esempio, protezione degli azionisti, protezione dei creditori e applicazione della legge) in tutti i paesi. Gli studiosi misurano la protezione degli azionisti attraverso l'anti direttore, indice dei diritti che viene calcolato come la somma di sei elementi e varia da 0a 6. Misurano la protezione dei creditori attraverso l'indice dei diritti dei creditori che è la somma di quattro elementi, e varia da 0 a 4. 11 Infine, misurano la forza legale attraverso tre punti: (i) l'efficienza del sistema giudiziario che è valutata tra0 e 10; (ii) l'indice di corruzione misurato che varia tra 0 e 10; e(iii) l'indice dei principi contabili, su una scala da 0 a 90.La tabella 3.2 presenta la protezione degli investitori in diversi sistemi legali. La tabella mostra che la protezione degli investitori varia notevolmente da un paese all'altro. Mentre i paesi con la legge comune hanno la massima protezione degli investitori (sia azionisti che creditori), i paesi di diritto civile francese hanno la più bassa. I paesi di diritto civile hanno un livello intermedio di protezione. Inoltre, il più alto livello di applicazione della legge esiste nei paesi di diritto civile tedesco e scandinavo, mentre i paesi di diritto civile francesi hanno ancora il livello più basso. La protezione degli investitori è molto importante perché sembra essere un motore di variabili chiave, come la dimensione del capitale dei mercati, numero di offerte pubbliche iniziali, concentrazione della proprietà e vantaggi privati del controllo.</w:t>
      </w:r>
    </w:p>
    <w:p>
      <w:pPr>
        <w:pStyle w:val="Normal"/>
        <w:rPr>
          <w:rFonts w:ascii="Times New Roman" w:hAnsi="Times New Roman" w:cs="Times New Roman"/>
          <w:sz w:val="24"/>
          <w:szCs w:val="24"/>
        </w:rPr>
      </w:pPr>
      <w:r>
        <w:rPr/>
        <w:drawing>
          <wp:inline distT="0" distB="0" distL="0" distR="0">
            <wp:extent cx="6120130" cy="2202180"/>
            <wp:effectExtent l="0" t="0" r="0" b="0"/>
            <wp:docPr id="2"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
                    <pic:cNvPicPr>
                      <a:picLocks noChangeAspect="1" noChangeArrowheads="1"/>
                    </pic:cNvPicPr>
                  </pic:nvPicPr>
                  <pic:blipFill>
                    <a:blip r:embed="rId3"/>
                    <a:srcRect l="0" t="72671" r="0" b="2506"/>
                    <a:stretch>
                      <a:fillRect/>
                    </a:stretch>
                  </pic:blipFill>
                  <pic:spPr bwMode="auto">
                    <a:xfrm>
                      <a:off x="0" y="0"/>
                      <a:ext cx="6120130" cy="22021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Doveri fiduciari degli amministratori</w:t>
      </w:r>
    </w:p>
    <w:p>
      <w:pPr>
        <w:pStyle w:val="Normal"/>
        <w:rPr>
          <w:rFonts w:ascii="Times New Roman" w:hAnsi="Times New Roman" w:cs="Times New Roman"/>
          <w:sz w:val="24"/>
          <w:szCs w:val="24"/>
        </w:rPr>
      </w:pPr>
      <w:r>
        <w:rPr>
          <w:rFonts w:cs="Times New Roman" w:ascii="Times New Roman" w:hAnsi="Times New Roman"/>
          <w:sz w:val="24"/>
          <w:szCs w:val="24"/>
        </w:rPr>
        <w:t>Nella maggior parte dei paesi, gli amministratori hanno doveri fiduciari nei confronti degli azionisti della società. In alcuni paesi, il diritto societario estende questi doveri fiduciari per includere gli interessi dell'azienda e degli stakeholder. I principali doveri fiduciari dei membri del consiglio sono il dovere di lealtà e il dovere di diligenza. Secondo il dovere di lealtà, gli amministratori devono perseguire il miglior interesse dell'azienda. Ciò significa che gli amministratori non possono impegnarsi in operazioni in cui hanno un conflitto di interessi con la società, come nel caso dell'autodisciplina. Al fine di conformarsi con questo dovere fiduciario, gli amministratori devono informare il consiglio se hanno un conflitto di interesse relativo a una particolare decisione, non deve perseguire opportunità aziendali per il loro guadagno personale e devono mantenere private le informazioni del consiglio. Il dovere fiduciario della cura ha un contenuto più ampio e meno definito del dovere fiduciario di lealtà. Conformemente al dovere di diligenza, gli amministratori devono agire con prudenza e professionalità, vale a dire, dovrebbero prendere decisioni informate, adeguatamente preparate, prudenti e valide. In caso di mancato rispetto di tali doveri, gli amministratori esecutivi possono essere responsabili per i danni causati dalla decisione, e gli amministratori non esecutivi, possono essere solidalmente responsabili se non hanno fatto tutto il possibile per impedire tali azioni, o per mitigare le loro conseguenze negative. I doveri fiduciari degli amministratori sono un'alternativa efficiente allo sviluppo di sia sofisticati meccanismi di controllo che contratti complessi. Questi principi sostituiscono il controllo diretto dei comportamenti gestionali con l'imposizione di doveri che in caso di violazione comportano sanzioni per gli amministratori. I doveri fiduciari sono uno strumento importante per allineare gli interessi dei massimi dirigenti con quelli dell'azienda e dei suoi azionisti (o stakeholder). Tuttavia, non risolvono completamente il file. divergenza di interessi tra i partiti, poiché in pratica spesso non è facile distinguere, soprattutto per la minoranza di azionisti di una società quotata a causa dell'asimmetria informativa tra comportamenti che arrecano danno economico all'impresa e comportamenti che favoriscono sia i dirigenti che l'impresa (vedi Box 3.4). Anche per questo motivo le azioni di responsabilità nei confronti degli amministratori sono promosse principalmente sia da azionisti di minoranza di società non quotate che ritengono che i loro interessi siano stati danneggiati dalle azioni degli amministratori, o dagli azionisti di una società quotata che fallisce a causa di alcuni disinformati o decisioni opportunistiche prese da top manager e amministratori.</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Riquadro 3.4 Azioni legali intraprese dagli azionisti</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Negli Stati Uniti, le azioni degli azionisti possono assumere la forma di contratti derivati, mentre vengono portati da uno o più azionisti per conto della società, o lite diretta, che può essere portato da uno o più soci. Uno studio condotto nel periodo 1960-1987 su un campione casuale di società quotate al NYSE, hanno dimostrato che entrambi i tipi di azioni sono particolarmente rari, in quanto colpiscono gli amministratori di una società ogni 42 anni. Inoltre, tendono a concentrarsi su un piccolo numero di aziende. Lo stesso studio ha anche sottolineato che la maggior parte dei casi viene risolta in via extragiudiziale e che i principali vantaggi di tali azioni legali non sono gli azionisti, ma gli avvocati che le gestiscono per conto degli azionisti. Solo la metà dei casi, infatti, prevede la restituzione ufficiale, spesso modesta, mentre circa il 90 per cento consente il pagamento degli onorari degli avvocati. Negli ultimi decenni la situazione è cambiata in modo significativo. Un recente rapporto mostra che il 2017 è stato l'anno più attivo in assoluto per i reclami per responsabilità di amministratori e funzionari (0 e 0), escluse le cause IPO. Dal 2017 sono state presentate 412 class action sui titoli e oltre l'8% delle società quotate si è trovata ad affrontare la Claim D&amp;O. È interessante notare che tre studi legali emergenti erano responsabili di oltre il 50 per cento di reclami iniziali sui titoli compilati tra il 2014-17.</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sz w:val="24"/>
          <w:szCs w:val="24"/>
        </w:rPr>
      </w:pPr>
      <w:r>
        <w:rPr>
          <w:rFonts w:cs="Times New Roman" w:ascii="Times New Roman" w:hAnsi="Times New Roman"/>
          <w:sz w:val="24"/>
          <w:szCs w:val="24"/>
        </w:rPr>
        <w:t>Fonte: Adattato da Romano R "La citazione in giudizio dell'azionista: contenzioso senza fondazione?" Giornale di diritto, economia e organizzazione, 7, 1991, 55-87. Dati recenti da: società Lockton, responsabilità dei direttori e degli ufficiali, Claim Trends, marzo 2018.</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Le decisioni giudiziarie possono aver contribuito a rendere meno efficaci questi compiti. I giudici hanno tradizionalmente fatto riferimento alla cosiddetta regola del giudizio aziendale, secondo a cui il tribunale assume la buona fede dei consigli di amministrazione a meno che non lo sia è dimostrato che hanno violato le loro responsabilità fiduciarie. In altre parole, la legge riconosce che tutte le decisioni aziendali sono rischiose e possono influire negativamente alla performance dell'azienda e che la ricchezza degli investitori sarebbe inferiore se le decisioni del consiglio di amministrazione sono state sottoposte a stretto controllo da parte delle autorità giudiziarie. Al fine di stabilire una violazione dei doveri fiduciari, non è sufficiente verificare se l'esito finale della decisione è favorevole o sfavorevole all'azienda, ma è necessario ricostruire il processo decisionale del consiglio (cioè, le alternative a disposizione del consiglio, il progetto conseguenze di ciascuna alternativa e la probabilità dei risultati finali). Questo atteggiamento implica che le autorità giudiziarie puniscano solo le decisioni illegali (es. furto o appropriazione indebita di beni aziendali), e lasciare che sia il mercato a sanzionare ingiustamente decisioni penalizzando le performance aziendali .In risposta alle azioni legali degli azionisti contro gli amministratori, le società hanno introdotto assicurazione di responsabilità degli amministratori e dei funzionari (D&amp;O) che protegge gli amministratori e funzionari da reclami derivanti dalle loro azioni intraprese nel corso dell'esecuzione dei loro doveri. Questa assicurazione risarcisce gli amministratori e i funzionari della società i costi di difesa delle azioni legali e i danni in caso di perdita della causa. La politica copre amministratori e funzionari per errori o interpretazioni errate, ma non per fraudolenti, inadempienza criminale o intenzionale o se hanno ricevuto una remunerazione illegale della spesa dell'azienda.</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Codici di buona governance</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Dalla pubblicazione del Codice Cadbury (nel 1992) e dei codici promossi da istituzioni transnazionali (come l'ICGN e l'OCSE) c'è stata una proliferazione di codici di corporate governance in tutto il mondo. Alla fine del 2014, 91 paesi avevano emesso un codice di buona governance e un totale di 345 codici (91 codici iniziali, più 254 revisioni) stato rilasciato. Il successo dei codici di buona governance ha anche favorito la diffusione di codici per società non quotate, società con uno specifico assetto proprietario (es. Statale o familiare), diverse tipologie di istituti finanziari (es. Banche commerciali, investitori istituzionali, fondo comune di investimento) o volontario e organizzazioni caritatevoli. In sintesi, i codici di buone pratiche sono ora un mezzo popolare di incoraggiamento per le aziende per aumentare la responsabilità e la trasparenza. I codici di buona governance sono generalmente promossi da una coalizione di soggetti, tra cui la borsa, le associazioni dei gestori e, meno spesso, i dirigenti e le associazioni di investitori o il governo nazionale. Nella maggior parte dei sistemi legali, codici del bene la governance non sono legalmente vincolanti e la loro applicazione è sotto l'effetto dell'efficacia delle forze del mercato finanziario. L'informativa sull'adozione o la spiegazione della devianza dalle raccomandazioni dei codici, varia da paese a paese, cioè può essere obbligatorio o volontario. Un'informativa obbligatoria aumenta l'efficacia di codici di governance, perché il mercato finanziario può valutare meglio la compliance delle aziende con le buone prassi. Le raccomandazioni dei codici sono state sviluppate basandosi sulle buone prassi aziendali. I codici forniscono indicazioni su come affrontare le principali questioni di governance come parità di trattamento di tutti gli azionisti; responsabilità degli amministratori e dei top manager nei confronti dell’ azienda e le sue parti interessate; trasparenza nella rendicontazione finanziaria e non finanziaria di mercati finanziari; la composizione e la struttura dei consigli di amministrazione; responsabilità sociale dell’azienda nei confronti degli stakeholder; e conformità con corporale e finanziaria diritto di mercato.  Le raccomandazioni fondamentali dei codici di buona governance sono una serie di buone prassi riguardo al consiglio di amministrazione. Seguendo la teoria dell'agenzia e la pressione istituzionale investitori, i codici di governance invitano il consiglio di amministrazione a svolgere un'attività attiva ruolo indipendente sia nel prendere decisioni strategiche che nel controllo dei top manager comportamento. Le raccomandazioni più comuni riguardano: aumentare il numero di amministratori non esecutivi e indipendenti; separare i ruoli di CEO e Presidente; la creazione di comitati consiliari (ovvero, il comitato controllo e rischi, la remunerazione comitato, e il comitato per le nomine e la governance), composto da persone non esecutive e amministratori indipendenti; nominare un direttore capo indipendente; introducendo autovalutazione del consiglio di amministrazione e così via. Queste pratiche sono considerate fattori chiave di efficacia del consiglio di amministrazione e prestazioni costanti. L'evidenza empirica evidenzia che il contenuto dei codici di buona governance è diverso tra i paesi di diritto comune e di diritto civile. I paesi di diritto civile sono più lenti a farlo emettere il primo codice e aggiornarlo nel tempo, ma estendere i suoi consigli di società non quotate più spesso rispetto ai paesi di legge comune. Allo stesso tempo, civile i codici dei paesi di diritto forniscono raccomandazioni più ambigue e più morbide dei codici rilasciato in paesi di legge comune. Presi insieme, questi risultati sottolineano il fatto che l'emissione di codici nei paesi di diritto civile è spinta maggiormente dal desiderio di legittimazione che l'efficienza; cioè, i paesi di diritto civile sono più inclini a legittimare le loro pratiche di governance piuttosto che migliorarle in modo significativo. Evidenza empirica suggerisce inoltre che le società quotate tendono a rispettare le raccomandazioni del codice, sia per aumentare la loro legittimazione tra gli investitori sia per migliorare le loro pratiche di governo societario. Il rispetto dei principi e delle raccomandazioni dei codici è più alto per le aziende più grandi, raccomandazioni meno controverse e altre economie sviluppate e aumenta nel tempo a causa della pressione del mercato. Infine, l'evidenza empirica fornisce risultati contrastanti sull'impatto della conformità dei codici sulla performance finanziaria delle imprese. In breve, l'evidenza empirica sottolinea che i codici influenzano in modo significativo la governance formale delle società quotate, mentre è meno chiaro se sono in grado di promuovere un miglioramento sostanziale delle pratiche governance di aziendale.</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Revisori esterni</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I revisori esterni svolgono un ruolo importante di governance, poiché promuovono trasparenza e responsabilità. I revisori esterni certificano i bilanci delle società, e così garantire che il consiglio di amministrazione e le parti interessate ricevano informazioni affidabili e accurate informazioni. Più precisamente, monitorano il corretto utilizzo dei principi contabili, verificare la presenza di errori e discrepanze nella tenuta della contabilità, valutare la ragionevolezza di stime contabili e riesaminare la presentazione del bilancio. Al termine della verifica, i revisori esterni scrivono una lettera al consiglio di amministrazione in cui entrambi presentano eventuali problemi significativi incontrati e forniscono raccomandazioni su come affrontare eventuali carenze. Quando non sono completamente soddisfatti, i revisori possono qualificare il loro rapporto di revisione utilizzando uno dei tre moduli seguenti: (i) un giudizio con riserva, quando il bilancio fornisce una rappresentazione veritiera e corretta, tranne per alcune questioni specifiche; (ii) un parere di esclusione di responsabilità, quando non sono in grado di formarsi un giudizio sul fatto che il rendiconto finanziario fornisca una rappresentazione veritiera e corretta a causa di accesso limitato alle informazioni aziendali; o (iii) un giudizio negativo, se finanziario dichiarazione non fornisce una visione veritiera e corretta delle condizioni dell'azienda. Il ruolo e le responsabilità dei revisori esterni variano da paese a paese. Essi tipicamente esegue valutazioni periodiche del rischio rivedendo i processi interni finalizzato a prevenire frodi o corruzione aziendali, nonché ad analizzare la società tolleranza al rischio e sforzi per mitigare i rischi. Inoltre, possono svilupparsi entrambi piani di gestione delle crisi da attuare in caso di accuse di frode o corruzione, e può aiutare le aziende a sviluppare un buon rapporto con le autorità di regolamentazione. Anche se i revisori esterni sono pagati da società il cui bilancio controllano, la loro indipendenza può accrescere la loro credibilità ed efficacia. Nel in particolare, l'indipendenza dei revisori può favorire la loro obiettività (ad es. la capacità di sopprimere pregiudizi) e integrità (ad esempio, la volontà di esprimere un'opinione veritiera in merito cosa hanno trovato durante il processo di audit); In qualità di comportamento indipendente dei revisori esterni rimane inosservabile da parte delle parti interessate, della legislazione aziendale e del buon governo i codici si basano sulla loro indipendenza formale. Quattro condizioni possono influire sull'indipendenza dei revisori: l'importanza del cliente; offerta di servizi non di revisione quali consulenza; il mandato del revisore; e l'affiliazione del cliente con la società di revisione. In primo luogo, i clienti più importanti di un revisore possono esercitare una forte pressione sui revisori, perché hanno un peso maggiore nei ricavi. Questo problema non è stato ancora regolamentato perché ci sono prove empiriche limitate a sostegno dell'idea che l'importanza del cliente possa minare l’indipendenza dei revisori. In secondo luogo, i revisori esterni possono offrire servizi supplementari ai propri clienti, tra cui consulenza gestionale, fiscale e finanziaria. L'offerta di servizi diversi dalla revisione è particolarmente critica per l'indipendenza dei revisori, perché la più redditizia i servizi non di audit possono spingere gli auditor a compromettere la loro qualità di audit. Di conseguenza, dal SOX Act del 2002, i revisori esterni non possono fornire servizi diversi dalla revisione per controllare i clienti e gli standard etici vietano agli auditor di offrire servizi diversi dalla revisione controllare i clienti quando ciò può minacciare la loro indipendenza. In terzo luogo, la durata della relazione può indurre il revisore a sviluppare stretti legami con cliente e quindi minare la qualità dell'audit. Sulla base di questa idea, gli Stati Uniti ha introdotto la rotazione obbligatoria dei soci delle società di revisione nel 1978, mentre quella europea ha introdotto la rotazione obbligatoria dei partner nel 2006 e l'obbligo rotazione delle società di revisione nel 2014. Infine, i revisori che lasciano la società di revisione a un'azienda, che in precedenza era il loro cliente, potrebbero non essere completamente indipendente. Per evitare potenziali implicazioni negative per la qualità dell'audit, SOX impone un anno periodo di riflessione prima che un partner o membri del gruppo di audit possano lavorare come finanziari funzionari per una precedente azienda cliente.</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I media</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I media (ad es. Giornali, televisione, radio e social media) svolgono un ruolo chiave nel monitoraggio decisioni aziendali. Il ruolo principale dei media è, infatti, raccogliere, selezionare, analizzare, e comunicare le informazioni al pubblico. In questo modo riducono le persone costi dell'informazione e contribuiscono a formare l'opinione pubblica. I media possono influenzare le organizzazioni in vari modi. Segnalando alcuni file aziendali eventi e presentandoli in un certo modo, i media possono attirare l'attenzione delle parti interessate a questioni che altrimenti potrebbero essere trascurate. Inoltre, i media possono dare voce a alcune parti interessate (ad esempio, investitori attivisti, gruppi di protesta, diritti degli animali e ambiente gruppi) le cui voci potrebbero rimanere inascoltate dal pubblico. Infine, i giornalisti possono condurre anche indagini private per rivelare frodi aziendali o cattiva condotta. I media possono svolgere tre diversi ruoli nella governance aziendale. Nello specifico, media può: (i) attirare l'attenzione dei politici su alcune questioni e possibilmente indurli a farlo cambiare la legge aziendale, o aumentare l'applicazione, se pensano che la loro inerzia possa essere pericolosa la loro carriera; (ii) influenzare la reputazione dei vertici aziendali e degli amministratori all'interno delle società stakeholder, e quindi indurli a comportarsi correttamente per non danneggiare i propri future carriere e compensi; e (iii) plasmare i top manager e gli amministratori immagine pubblica, inducendoli così a seguire una corretta condotta se non lo fanno vogliono danneggiare la loro reputazione. In sintesi, supponendo che manager e direttori si preoccupino sulla loro immagine, i media possono svolgere un ruolo di governance influenzando il loro comportamento e indurre le imprese a prendere decisioni coerenti con i principi di buona governance e raccomandazioni. L'evidenza empirica evidenzia il fatto che una copertura mediatica positiva può influenzare la reputazione, e quindi la legittimità, delle aziende e dei loro dirigenti nei confronti degli azionisti, i loro stakeholder e la società in generale. I media non solo riducono l'asimmetria di informazioni tra l'azienda e i suoi stakeholder, ma può anche svolgere il ruolo di controllore sui top manager o sui consigli di amministrazione. Di conseguenza, i media possono influenzare le pratiche di governo societario (ad es. composizione del consiglio di amministrazione, compenso del CEO), stigmatizzando le pratiche inappropriate delle aziende o il comportamento opportunistico dei leader. È aperto al dibattito, tuttavia, se l'impatto dei media sul comportamento di governance sia sostanziale o se i cambiamenti delle aziende siano puramente simbolici. Il ruolo e l'efficacia dei media è influenzato dalle caratteristiche del contesto istituzionale nazionale. Più precisamente, i media possono avere un impatto più visibile nei paesi in cui dirigenti e direttori minimizzano il loro intervento e la loro influenza, l'applicazione della legge è permissiva e le buone prassi accettabili non sono comuni. Inoltre, diverse variabili (come la libertà nazionale di stampa e dei media, un ruolo attivo o passivo del governo, una proprietà concentrata o dispersa delle società di media e una maggiore o minore concentrazione industriale) possono influenzare l'indipendenza dei media e la loro efficacia nella società. Infine, mentre una maggiore penetrazione della stampa è associata a una migliore governance e minori benefici privati ​​del controllo, l'impatto dei media dipende in gran parte dalle norme e dai valori della società.</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Le organizzazioni di rating</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Diverse organizzazioni, ad esempio analisti di governance e agenzie di rating come Governance Metrics International (GMI), Servizi per gli azionisti istituzionali (ISS), Standard and Poor's (S&amp;P) - valuta la qualità della governance delle società quotate. Queste organizzazioni utilizzare informazioni disponibili pubblicamente (ad es. siti Web aziendali, dichiarazioni di delega, relazioni annuali, comunicati stampa, prospetti e relazioni sulla governance), eventualmente aumentati da ulteriori informazioni raccolte a tale scopo (ad es. interviste con rappresentanti dell'azienda, o esaminando la documentazione interna dell'azienda), in ordine emettere rating sulla qualità della governance delle società. Queste valutazioni si classificano imprese sia in termini assoluti che relativi, riducendo così l'asimmetria delle informazioni tra top manager e stakeholder (es. investitori) sulla qualità delle società pratiche di governance. Queste agenzie misurano le pratiche di governo societario di diverse categorie delle società quotate. Valutano le società l'una rispetto all'altra (GMI), o rispetto a un modello di benchmark (ISS). I loro rating misurano la qualità della governance analizzando la struttura e la composizione del consiglio, lo statuto e le disposizioni statutarie, anti - pratiche di acquisizione, remunerazione dei dirigenti, assetti proprietari, diritti degli azionisti, relazioni con gli stakeholder, trasparenza e divulgazione. Queste valutazioni possono essere utilizzate per diversi scopi. Gli stakeholder possono utilizzarli sia per confrontare le loro aziende con i colleghi, sia per prevedere il loro rischio e rendimento futuri. Queste informazioni possono, ad esempio, aiutare gli investitori a valutare quali società includere nel proprio portafoglio. Inoltre, queste informazioni possono stimolare gli investitori indirizzare le aziende con problemi di governance e scarse performance, in modo da promuovere azioni volte a migliorare le loro pratiche e performance di governance. Infine, queste metriche di governance, soprattutto se negative, possono attirare l'attenzione dei media e stimolare ulteriormente l'attivismo degli azionisti. La diffusione di queste metriche può spingere le società quotate a migliorare le loro pratiche di governance, al fine di ricevere un rating migliore e aumentare la loro reputazione tra le parti interessate. D'altra parte, la ricerca di legittimità può anche portare le aziende a conformarsi alle stesse pratiche (isomorfismo), e quindi a distorcere lo spirito dei codici di buona governance che si fondano sui principi di compliance o di spiegazione o di libertà con responsabilità, ovvero lasciare le aziende liberi di adottare le pratiche che meglio si adattano alle caratteristiche dell'erede e supportano al meglio la creazione di valore per gli azionisti o gli stakeholder. Inoltre, la pressione, o. la conformità può indurre le aziende a rispondere simbolicamente, vale a dire, può costringere le aziende a conformarsi formalmente, ma non sostanzialmente con determinate pratiche solo per migliorare le loro valutazioni. L'evidenza empirica non supporta l'idea che le classifiche di governance siano in grado di prevedere controversie tra azionisti, revisioni contabili o prestazioni aziendali. La mancanza di un forte supporto empirico può avere diverse cause. Innanzitutto, fa avanzare il l'idea che le pratiche di governo societario non dovrebbero seguire standard universali, ma dovrebbe essere progettato per conformarsi alle caratteristiche e alle esigenze specifiche delle aziende. Secondo, questi risultati possono anche essere dovuti a errori di misurazione nella qualità della governance valutazioni, ad esempio, il numero e il tipo di elementi da includere nelle valutazioni sono piuttosto arbitrario, così come il peso assegnato a ciascun articolo. Questa idea è supportata anche da debole correlazione che caratterizza i vari rating.</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3.3.2 Meccanismi di governance interna</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I meccanismi di governance interna mirano a rivolgersi agli azionisti e ai top manager problemi di agenzia operando all'interno dell'azienda. Sono costituiti da: (i) grandi azionisti,  chi può controbilanciare e monitorare i top manager o gli azionisti di controllo energia; (ii) consigli di amministrazione, che devono approvare le proposte dei vertici aziendali e monitorare la loro attuazione; (iii) piani di incentivazione, che mirano ad allineare le interessi agli azionisti o creazione di valore degli stakeholder (iv) sistemi di controllo interni, il cui scopo principale è salvaguardare i beni aziendali, monitorarne l'accuratezza dati contabili e garantire il rispetto delle politiche interne e delle normative esterne; e (v) un debito finanziario elevato, che può disciplinare i top manager incentivandoli loro per produrre grandi flussi di cassa in modo da pagare gli interessi e il debito in scadenza.</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Grandi azionisti</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Un meccanismo interno che può ridurre l'opportunismo del top management è la presenza di uno o più azionisti che possiedono un numero consistente di azioni (blockholder). Questi azionisti hanno dato entrambi gli incentivi economici per controllare i top manager e il comportamento dei consigli di amministrazione e il potere di influenzarli o sostituirli in caso di prestazioni insoddisfacenti. Gli azionisti, che non sono soddisfatti dai top manager di una società in portafoglio, possono impegnarsi con loro per influenzare il loro processo decisionale (opzione vocale) o vendere le loro azioni per penalizzare la loro scarsa performance e favorirne la sostituzione (opzione di uscita). Queste due opzioni possono essere complementari, con l'opzione voce che precede una potenziale uscita. La presenza di uno o più grandi azionisti si riduce, ma non del tutto eliminare, problemi di agenzia tra azionisti e top manager. In primo luogo, i blockholder potrebbero non dedicare sufficiente attenzione per monitorare i top manager perché loro non ricevere tutti i benefici che sono condivisi proporzionalmente da tutti gli azionisti. Inoltre, i blockholder possono usare il loro potere per migliorare i loro benefici personali a scoraggiamento degli interessi degli azionisti di minoranza o di altri stakeholder. Infine, blockholder che possono essere altre società, o investitori istituzionali controllati da top manager affrontare gli stessi problemi di agenzia della società partecipata, poiché i loro manager possono perseguire i propri interessi e potrebbe non dedicare sufficiente attenzione al monitoraggio dei gestori delle società nel proprio portafoglio. I blockholder più comuni delle società quotate sono gli investitori istituzionali. Sono organizzazioni, ad esempio fondi comuni di investimento, hedge fund, fondi pensione, commerciali banche e compagnie di assicurazione - che investono risorse finanziarie per conto dei loro clienti. Gli investitori istituzionali hanno competenze finanziarie specializzate e profonde che lo consentono per cercare, valutare e acquistare e vendere diversi tipi di titoli (ad es. obbligazioni, azioni, opzioni e futures). Grazie alla loro maggiore conoscenza della finanza mercati, gli investitori istituzionali possono anche negoziare titoli rischiosi (come gli swap) che vendono al dettaglio agli investitori non è consentito acquistare. I tre maggiori investitori istituzionali - BlackRock, Vanguard e State Street Global Advisors - gestiscono collettivamente più di $ 14 trilioni e rappresentano un quarto dei voti nelle società S&amp;P 500. Queste cifre dovrebbero crescere in futuro. Negli ultimi decenni gli investitori istituzionali hanno ampliato le risorse finanziarie hanno ricevuto dai loro clienti. Di conseguenza, hanno aumentato il valore delle attività in portafoglio, comprese azioni e obbligazioni di società quotate. Tradizionalmente, investitori istituzionali volti a ottenere un rendimento più elevato rispetto alla concorrenza fondi attraverso una politica di gestione patrimoniale attiva, che ha comportato l'acquisto di titoli sottovalutati e vendita di titoli sopravvalutati. Cioè, non hanno sfidato le decisioni dei top manager delle società in portafoglio e, se lo fossero scontenti delle conseguenze delle loro scelte, hanno penalizzato i vertici vendendo le azioni della società sul mercato (cioè votavano con i piedi o seguivano Wall Street Walk o Wall Street Rule). Durante gli anni '90, la strategia degli investitori istituzionali cambia notevolmente rispetto al periodo precedente. Prima di tutto, molti gestori di fondi lo capiscono non è facile ottenere rendimenti superiori a quelli del mercato attraverso una gestione attiva del portafoglio e, di conseguenza, decidere di adottare una strategia di investimento passivo replicando gli indici più rappresentativi (ad esempio, S&amp;P per gli Stati Uniti e FTSE Regno Unito) per un lungo periodo di tempo. Anche questa strategia compra e mantieni (investimento passivo) si diffonde tra i fondi perché la dimensione delle partecipazioni delle società nel loro portafoglio (ad esempio, 3-5 percento o diversi milioni di azioni in ciascuna impresa) impedisce ai gestori di fondi di vendere le loro azioni sul mercato a breve termine, senza subire un pesante perdita. A seguito di questi cambiamenti, i gestori di fondi decidono di adottare una nuova strategia, ovvero sfidare le scelte strategiche e il modello di governance delle società nel proprio Portafoglio. Negli anni '90 l'attivismo degli azionisti diventa un approccio comune per superare i problemi legati alla separazione tra proprietà e controllo. L'intervento attivo da parte degli azionisti significa che usano i loro diritti di voto per spingere i top manager a prendere decisioni strategiche migliori, per migliorare le pratiche di governance e per aumentare le prestazioni dell'azienda. Gli attivisti degli azionisti impiegano una serie di tattiche: avanzano proposte all'assemblea dei soci, pubblica elenchi di società con prestazioni insoddisfacenti o impegnarsi in altre forme di negoziazione privata con gestione aziendale. Un obiettivo chiave degli attivisti è riformare il governo societario modello delle grandi società quotate. Di conseguenza, la maggior parte delle loro proposte si rivolge il consiglio di amministrazione, il potere di voto degli azionisti, e gli alti dirigenti eccessivi compenso. L'attivista degli azionisti ha anche creato un mercato per i proxy advisor, i. e., aziende che fornire servizi di consulenza su come votare alle assemblee degli azionisti e procuratori legali, vale a dire, le società che aiutano gli investitori a sollecitare voti per sostenere i loro candidati al consiglio o risoluzioni. Nel 1985, Robert Monks, uno dei più attivi sostenitori di la campagna per i diritti degli azionisti, fondata Institutional Azionista Services (ISS) fornire servizi di consulenza ai gestori di fondi. Nel 1990 Monks creò una divisione per aiutare i fondi a promuovere azioni legali degli azionisti. Nel 1992 ha creato il Lens Fund, un attivo fondo di investimento la cui strategia è: (i) identificare le società incluse nell’indice Standard &amp; Poor’s a basso rendimento per gli azionisti; (ii) acquistare il 2-3% delle proprie azioni; e (iii) esercitare pressioni sui propri top manager affinché introducano cambiamenti nella strategia aziendale o pratiche di governance. Al fine di facilitare l'attivismo degli azionisti, la SEC ha emesso un regolamento federai in materia deleghe nel 1992. Il nuovo regolamento affronta le denunce degli investitori istituzionali che le regole delega impedivano lo scambio di informazioni tra gli investitori. Le nuove regole facilitare la comunicazione agli azionisti, eliminando il requisito che gli azionisti comunicare alla SEC il proprio coinvolgimento attivo nella sollecitazione della delega processi. Questo cambiamento apre la strada all'investimento relazionale, che si traduce in a rapporto più stretto e collaborativo tra investitori e gestori delle partecipate aziende. L'investimento relazionale implica che gli investitori detengano un blocco di azioni per lungo tempo e, in cambio, acquisire il diritto di influenzare il processo decisionale dell'azienda. Questa nuova filosofia differisce sia dalle acquisizioni ostili, poiché mira a prevenire la scarsa performance delle azioni e l'attivismo degli azionisti, in quanto stabilisce a dialogo stabile e aperto con il top management. L'evidenza empirica sull'efficacia dell'attivismo degli azionisti nell'influenzare la strategia e le pratiche di governance delle grandi aziende sono miste. Alcuni studi mostrano che l'attivismo degli azionisti ha effetti positivi sulla società partecipata, in quanto il capitale dei pazienti consente ai manager di concentrarsi sul raggiungimento degli obiettivi a lungo termine. Altri studi affermare, invece, che l'attivismo degli azionisti, nelle sue varie forme, non ha portato a cambiamenti significativi nelle performance aziendali, perché gli investitori istituzionali non investono risorse significative in questa attività (ovvero, i team di governance dei fondi sono costituiti da solo poche persone che dovrebbero supervisionare migliaia di aziende) e concentrarsi su questioni che non hanno un impatto diretto sulla creazione di valore per gli azionisti o gli stakeholder. Il la maggior parte degli studi critici evidenzia che gli investitori istituzionali sono caratterizzati dall'agenzia problemi ancora più gravi di quelli delle società quotate, perché il loro la partecipazione è più frammentata e non affrontano la potenziale minaccia di un ostile rilevare.</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Il Consiglio di Amministrazione</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Il consiglio di amministrazione è il principale meccanismo per migliorare le proposte dei vertici aziendali e per monitorarne l'attuazione. Gli articoli costitutivi di molti le società assegnano al consiglio di amministrazione un'ampia gamma di compiti, tra cui la nomina e la remunerazione dell'amministratore delegato; rivedere e approvare le decisioni strategiche (ad esempio in piani strategici, decisioni di grandi investimenti, M&amp;A); e il controllo della conformità aziendale con la legge e i regolamenti. Nonostante queste importanti responsabilità, i consigli di amministrazione possono non svolgere i propri compiti quando sono sotto l'influenza dominante di entrambi gli azionisti di controllo o gli alti dirigenti. In queste circostanze, non lo fanno monitorare coloro che controllano l'azienda, ma si limitano a ratificare le loro decisioni. Il consiglio di amministrazione è composto da un mix di amministratori esecutivi, che sono membri del top management della società e degli amministratori non esecutivi, che non lo fanno ricoprire qualsiasi altra posizione all'interno dell'azienda. Gli amministratori esecutivi hanno la responsabilità gestire l'azienda e avere una conoscenza approfondita ed estesa dell'azienda e il suo ambiente lavorativo. Gli amministratori non esecutivi sono responsabili della consulenza e monitorare gli amministratori esecutivi, ma potrebbero non svolgere i propri ruoli per diversi motivi. In primo luogo, di solito non hanno una grande partecipazione azionaria nella società e, di conseguenza, non si ottiene alcun vantaggio economico se le sue prestazioni migliorano. Inoltre, gli amministratori non esecutivi sono persone molto impegnate, ad esempio possono essere top manager, consulenti, avvocati o direttori con diversi membri del consiglio di amministrazione e, per questo motivo, potrebbero non dedicare abbastanza tempo all'analisi delle proposte strategiche dei manager, o per raccogliere informazioni aggiuntive per controllarne l'attuazione. Infine, non esecutivo gli amministratori sono nominati dagli azionisti di controllo o dai consigli di amministrazione, e sono consapevoli che la loro rielezione è soggetta alla valutazione del loro comportamento durante il mandato. Per tutti questi motivi, potrebbe risultare che gli amministratori non esecutivi preferiscono svolgere un ruolo consultivo su temi specifici, piuttosto che sfidare le proposte e i comportamenti della direzione. La probabilità di un consiglio passivo è particolarmente alta quando la composizione e la struttura del consiglio non sono allineate con le buone prassi, ovvero il consiglio ha un ampio numero di amministratori esecutivi; la stessa persona è l'Amministratore Delegato e il Presidente; non sono presenti comitati per funzioni specifiche (es. controllo, remunerazione, nomina); gli amministratori non esecutivi non sono indipendenti; e così via. Dopo diversi casi di frode aziendale e crolli imprevisti, sia diritto societario che buon governo i codici hanno promosso regole e buone pratiche volte a migliorare l'efficacia dei consigli. Questi principi e raccomandazioni - incorporati in leggi, regolamenti, e codici di buona governance - mirano ad aumentare la responsabilità degli amministratori nei confronti degli azionisti e delle parti interessate. Includono, tra gli altri, un consiglio di dimensioni adeguate, la nomina della maggioranza di amministratori non esecutivi e indipendenti, la creazione di sottocomitati composti da amministratori non esecutivi e indipendenti, la separazione del ruolo di amministratore delegato e presidente, nomina di un amministratore indipendente (senior) e la creazione di procedure formali per la selezione degli amministratori non esecutivi. Le raccomandazioni mirano anche a migliorare il funzionamento interno del consiglio, incoraggiando i consigli a organizzare un numero adeguato di riunioni, programmi di formazione continua e di inserimento degli amministratori e un'autovalutazione periodica del consiglio.</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Piani di incentivazione</w:t>
      </w:r>
    </w:p>
    <w:p>
      <w:pPr>
        <w:pStyle w:val="Normal"/>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Gli azionisti o le parti interessate possono disciplinare i top manager e quindi proteggere i propri interessi, progettando sistemi di remunerazione che leghino la ricchezza del CEO all'azienda prestazione. I sistemi di remunerazione, e in particolare i piani di incentivazione, sono uno di i meccanismi interni che possono contribuire ad affrontare i problemi dell'agenzia come i problemi dell'azione nascosta o dell'azzardo morale. Creano un collegamento tra gli agenti (CEO) compenso e il risultato delle loro azioni (performance aziendale). Al fine di creare una forte motivazione verso il raggiungimento del desiderato risultato, il consiglio dovrebbe collegare le ricompense dei CEO a un risultato che è sotto il loro controllo. Quando, infatti, il risultato può essere influenzato da altri eventi, si assomigliano ai piani di incentivazione biglietti della lotteria, che distribuiscono felicità e ricompense non guadagnate in caso di fortuna eventi e che si traducono in una sensazione di insoddisfazione e frustrazione in caso di brutti eventi. Poiché i top manager possono influenzare le decisioni delle aziende più importanti, la loro remunerazione è solitamente legata ai risultati aziendali misurati da diversi parametri come le prestazioni contabili, finanziarie, sociali o ambientali. Tradizionalmente, le società hanno collegato la retribuzione del CEO a quella contabile e finanziaria performance, prediligendo quest'ultima in quanto orientata al futuro e legata a valore per gli azionisti (cfr. riquadro 3.5). Più di recente, le aziende hanno anche iniziato a collegare la retribuzione del CEO alle prestazioni sociali e ambientali aziendali, utilizzando per esempio, indicatori ESG rilevanti per il loro modello di business.</w:t>
      </w:r>
    </w:p>
    <w:p>
      <w:pPr>
        <w:pStyle w:val="Normal"/>
        <w:pBdr>
          <w:top w:val="single" w:sz="4" w:space="1" w:color="000000"/>
          <w:left w:val="single" w:sz="4" w:space="4" w:color="000000"/>
          <w:bottom w:val="single" w:sz="4" w:space="1" w:color="000000"/>
          <w:right w:val="single" w:sz="4" w:space="4" w:color="000000"/>
        </w:pBdr>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Riquadro 3.5 Remunerazione dei top manager</w:t>
      </w:r>
    </w:p>
    <w:p>
      <w:pPr>
        <w:pStyle w:val="Normal"/>
        <w:pBdr>
          <w:top w:val="single" w:sz="4" w:space="1" w:color="000000"/>
          <w:left w:val="single" w:sz="4" w:space="4" w:color="000000"/>
          <w:bottom w:val="single" w:sz="4" w:space="1" w:color="000000"/>
          <w:right w:val="single" w:sz="4" w:space="4" w:color="000000"/>
        </w:pBdr>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Le relazioni dei consulenti per la remunerazione dei dirigenti evidenziano tale remunerazione dei dirigenti e degli amministratori delegati delle società quotate negli Stati Uniti è aumentato costantemente negli ultimi decenni. La remunerazione media dell'AD delle società S&amp;P 500 è passata da 3,5 milioni di dollari nel 1992 a 14,7 milioni di dollari nel 2000. Questa crescita è principalmente dovuta alla crescente importanza dei piani di incentivazione a lungo termine, solitamente rappresentati da stock option o piani di stock granting. Ad esempio, il valore delle opzioni alla data di assegnazione è passato da una media di circa $ 800.000 dollari nel 1992, a $ 7,2 milioni nel 2000. Alcune relazioni hanno anche esaminato l'intensità del legame tra remunerazione dell'AD e azienda prestazione. Studi condotti all'inizio degli anni '90 negli Stati Uniti hanno dimostrato che la sensibilità dei manager il compenso alla performance aziendale era piuttosto basso. Studi più recenti lo hanno dimostrato Le società statunitensi hanno aumentato in modo significativo il peso dei programmi di incentivazione azionaria nel tempo e, con loro è aumentata anche l'intensità del legame tra la remunerazione dell'AD e quella dell'azienda condividere valore sul mercato. Dati recenti dell'American Federation of Labour and Congress of Industrial Organization (AFLCIO) mostra che gli amministratori delegati delle società S&amp;P 500 hanno ricevuto una media di 13,94 milioni di dollari nel 2017. Nel nello stesso anno, i lavoratori non supervisori hanno ricevuto in media $ 38.613. Di conseguenza, il CEO-lavoratore il rapporto retributivo è pari a 361: 1.</w:t>
      </w:r>
    </w:p>
    <w:p>
      <w:pPr>
        <w:pStyle w:val="Normal"/>
        <w:pBdr>
          <w:top w:val="single" w:sz="4" w:space="1" w:color="000000"/>
          <w:left w:val="single" w:sz="4" w:space="4" w:color="000000"/>
          <w:bottom w:val="single" w:sz="4" w:space="1" w:color="000000"/>
          <w:right w:val="single" w:sz="4" w:space="4" w:color="000000"/>
        </w:pBdr>
        <w:tabs>
          <w:tab w:val="clear" w:pos="708"/>
          <w:tab w:val="left" w:pos="3288" w:leader="none"/>
        </w:tabs>
        <w:rPr>
          <w:rFonts w:ascii="Times New Roman" w:hAnsi="Times New Roman" w:cs="Times New Roman"/>
          <w:sz w:val="24"/>
          <w:szCs w:val="24"/>
        </w:rPr>
      </w:pPr>
      <w:r>
        <w:rPr>
          <w:rFonts w:cs="Times New Roman" w:ascii="Times New Roman" w:hAnsi="Times New Roman"/>
          <w:sz w:val="24"/>
          <w:szCs w:val="24"/>
        </w:rPr>
        <w:t>Fonti: adattato da Baker, G.P., Jensen, M.C. e Murphy, K.J., "Compensation and lncentives: Practice vs. teoria, "Journal of Finance 43 1988 593-616 · Hall, B.J., e Murphy, K.J.," The trouble with stock options, "Journal of Economic Perspectives, '17 (3), 200' 3, 49-70; Jensen, M.C. e Murphy, K · J · •" Performance Incentivi retributivi e del top management "Journal of Political Economy, 98, 1990, 225-264; Hall, B.J. What you bisogno di sapere sulle stock option, "Harvard Business Review, 78 (2), 2000, 121-129.</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I piani di incentivazione non solo allineano gli interessi dell'AD con quelli dell'azionariato o degli stakeholder, ma distribuiscono anche il rischio tra le parti. Se le persone fossero a rischio neutrale, il problema potrebbe essere facilmente risolto progettando piani di compensazione che collegano tutta la remunerazione dell'AD alla creazione di valore degli azionisti o degli stakeholder Tuttavia, questa soluzione non è fattibile a causa di diversi orientamenti di rischio: mentre gli azionisti possono minimizzare il rischio degli investimenti diversificando le attività in portafoglio, gestori investire le proprie competenze professionali nell'azienda per la quale lavorano e di conseguenza non vogliono legare completamente la loro ricchezza personale alle prestazioni dell'azienda. Il piano di incentivazione ottimale deve quindi bilanciare la necessità di promuovere azionisti o la creazione di valore per gli stakeholder, con il desiderio dei vertici aziendali di farne parzialmente incarnare isolato dal rischio aziendale. Gli incentivi più potenti utilizzati dalle aziende anglo-americane sono a lungo termine piani di incentivazione azionaria. Questi piani possono essere raggruppati in due classi: stock option piani e piani di stock granting. Il primo offre ai top manager una serie di opzioni acquistare o sottoscrivere azioni della società al prezzo di esercizio, in un determinato periodo. Il quest'ultimo assegna ai dirigenti un certo numero di azioni della società quando i dirigenti raggiungere obiettivi aziendali o personali predeterminati. Entrambi i piani si collegano, con alcune differenze, la remunerazione dei top manager al valore delle azioni dell'azienda. In questo modo, qualsiasi aumento del prezzo di mercato delle azioni determina un aumento del personale dei manager ricchezza. Cioè, questi piani allineano l'interesse economico dei top manager (compensazione) con quello degli azionisti (valore delle azioni della società), assumendo che questo collegamento può consentire ai top manager di prendere decisioni finalizzate ad aumentare il numero di aziende rendimento finanziario. I piani di incentivazione azionaria possono anche integrare metriche ESG in questo modo creare un collegamento tra i premi dei top manager e le competenze sociali, ambientali e rendimento finanziario.</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Sistemi di controllo interno e gestione dei rischi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Il sistema di controllo interno di una società quotata è costituito da un insieme di regole, processi, e strutture finalizzate a contribuire alla gestione aziendale, salvaguardando il stabilisce, assicurando l'affidabilità delle informazioni contabili e gestionali e garantendo il rispetto dei processi interni e delle leggi e normative esterne. Dal 1992 le pratiche corporali in materia di controllo interno sono state plasmate dal quadro integrato pubblicato dal Comitato delle Organizzazioni di Sponsorizzazione del Commissione Treadway (COSO). In questo quadro, il sistema di controllo interno è costituito da tre elementi: obiettivi, componenti e struttura organizzativa. Gli obiettivi rappresentano ciò che l'impresa vorrebbe ottenere con il sistema. Loro sono l’efficienza ed efficacia delle operazioni, affidabilità dell'informativa finanziaria, il rispetto di leggi e regolamenti esterni. Cinque componenti integrate rappresentano ciò che dovrebbe essere in atto per raggiungere questi obiettivi. Sono strettamente correlati a 17 principi che le aziende dovrebbero applicare per creare un sistema efficace. I cinque componenti sono:</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1. Un ambiente di controllo: un insieme di standard, processi e strutture a supporto del controllo interno. I principi chiave includono integrità aziendale e valori etici; il controllo indipendente del consiglio di amministrazione sulla gestione; struttura e responsabilità adeguate e dipendenti competenti e responsabili.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2 Valutazione del rischio - un processo iterativo volto a identificare tutti i potenziali rischi esterni ed interni che possono influire negativamente sull'azienda. Il principio chiave include identificare e valutare i rischi; capire come dovrebbero essere gestiti i rischi; considerando il potenziale di frode; e valutare potenziali cambiamenti.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3. Attività di controllo - politiche e procedure (ad esempio, autorizzazioni, approvazioni, verifiche)</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volto ad attenuare i rischi. I principi chiave implicano che le attività di controllo contribuire a mitigare il rischio; includere la tecnologia; e vengono distribuiti tramite politiche e procedure.</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4. Informazione e comunicazione - sia comunicazione interna (fornitura e acquisizione delle informazioni necessarie per l'attuazione delle attività di controllo) che comunicazione esterna (fornire informazioni per soddisfare le aspettative degli stakeholder). I principi chiave includono informazioni pertinenti e di qualità; comunicazione interna di obiettivi e responsabilità; e comunicazione con l'esterno stakeholder.</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5. Attività di monitoraggio - valutazioni sia in corso che separate: le prime sono integrate nei processi aziendali, mentre gli ultimi vengono condotti periodicamente. I principi chiave sono le valutazioni continue e separate del sistema di controllo interno, e la tempestiva comunicazione di eventuali carenze nei controlli interni.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La figura 3.1 rappresenta il quadro COSO del controllo interno. Le colonne rappresentano le tre classi di obiettivi (vale a dire, operazioni, reportistica e conformità); le righe rappresentano le cinque componenti (es. ambiente di controllo, valutazione del rischio, attività di controllo, informazione e comunicazione e attività di monitoraggio); la terza dimensione rappresenta la struttura organizzativa (es. livello entità, divisione, unità operativa, funzione). Vari attori aziendali dovrebbero cooperare per creare un controllo interno efficace sistema. Le loro responsabilità e compiti possono essere riassunti come segue:</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Il consiglio di amministrazione svolge un ruolo di primo piano, fornisce una guida strategica e valuta l'adeguatezza e l'efficacia del controllo interno e della gestione dei rischi sistema;</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Il comitato controllo e rischi - interamente composto da amministratori indipendenti, almeno uno con adeguata esperienza in materia contabile o finanziaria - deve fornire consigli formulare proposte al consiglio di amministrazione in merito al sistema di controllo interno e di gestione dei rischi;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l'Amministratore Delegato, o altro amministratore esecutivo incaricato del controllo interno e sistema di gestione del rischio, deve identificare i principali rischi aziendali, monitorare l'efficienza del sistema di controllo interno e di gestione dei rischi, chiedere agli interni funzione di revisione contabile per svolgere esami specifici e riferire al controllo e comitato rischi;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r>
    </w:p>
    <w:p>
      <w:pPr>
        <w:pStyle w:val="Normal"/>
        <w:spacing w:lineRule="exact" w:line="110" w:before="3" w:after="0"/>
        <w:jc w:val="left"/>
        <w:rPr>
          <w:rFonts w:ascii="Times New Roman" w:hAnsi="Times New Roman" w:cs="Times New Roman"/>
          <w:sz w:val="11"/>
          <w:szCs w:val="11"/>
        </w:rPr>
      </w:pPr>
      <w:r>
        <w:rPr>
          <w:rFonts w:cs="Times New Roman" w:ascii="Times New Roman" w:hAnsi="Times New Roman"/>
          <w:sz w:val="11"/>
          <w:szCs w:val="11"/>
        </w:rPr>
      </w:r>
    </w:p>
    <w:p>
      <w:pPr>
        <w:pStyle w:val="Normal"/>
        <w:tabs>
          <w:tab w:val="clear" w:pos="708"/>
          <w:tab w:val="left" w:pos="1755" w:leader="none"/>
        </w:tabs>
        <w:jc w:val="center"/>
        <w:rPr>
          <w:rFonts w:ascii="Times New Roman" w:hAnsi="Times New Roman" w:cs="Times New Roman"/>
          <w:sz w:val="24"/>
          <w:szCs w:val="24"/>
        </w:rPr>
      </w:pPr>
      <w:r>
        <w:rPr/>
        <w:drawing>
          <wp:inline distT="0" distB="0" distL="0" distR="0">
            <wp:extent cx="5076825" cy="3618865"/>
            <wp:effectExtent l="0" t="0" r="0" b="0"/>
            <wp:docPr id="3" name="Immagin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93" descr=""/>
                    <pic:cNvPicPr>
                      <a:picLocks noChangeAspect="1" noChangeArrowheads="1"/>
                    </pic:cNvPicPr>
                  </pic:nvPicPr>
                  <pic:blipFill>
                    <a:blip r:embed="rId4"/>
                    <a:srcRect l="12910" t="23827" r="55685" b="36287"/>
                    <a:stretch>
                      <a:fillRect/>
                    </a:stretch>
                  </pic:blipFill>
                  <pic:spPr bwMode="auto">
                    <a:xfrm>
                      <a:off x="0" y="0"/>
                      <a:ext cx="5076825" cy="3618865"/>
                    </a:xfrm>
                    <a:prstGeom prst="rect">
                      <a:avLst/>
                    </a:prstGeom>
                  </pic:spPr>
                </pic:pic>
              </a:graphicData>
            </a:graphic>
          </wp:inline>
        </w:drawing>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Il responsabile della funzione di internal audit dovrebbe verificarne la funzionalità e l'adeguatezza del sistema, prevenire ogni potenziale interferenza, avere accesso diretto a utili informazioni e redigere rapporti periodici sulla propria attività e su eventi particolari;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Le altre funzioni aziendali hanno specifici compiti in relazione all'ambiente interno processo e attività di controllo e gestione dei rischi.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I sistemi di controllo interno sono stati ampliati nel tempo per affrontare la gestione del rischio più esplicitamente. I sistemi di gestione del rischio aziendale mirano a fronteggiare l'incertezza e i rischi in modo da favorire la creazione di valore. La gestione del rischio è un processo che, a cominciare dalla strategia aziendale, individua potenziali eventi che possono interessare l'azienda, gestisce rischi in modo che rientrino nella propensione al rischio dell'azienda e garantisce che gli obiettivi aziendali ragionevolmente raggiunti. Nel 2004, il Committee of Sponsoring Organizations of the Treadway Commission (COSO) ha pubblicato un framework integrato per la gestione del rischio aziendale (ERM). Questo quadro si basa sull'idea che dovrebbero fare i consigli di amministrazione e i top manager bilanciare rendimento e rischi. In pratica, ciò significa allineare la strategia aziendale al rischio appetito, ovvero il livello di rischio considerato accettabile dal consiglio; valorizzare decisioni di risposta al rischio selezionando le alternative più appropriate (es. evitamento, riduzione, condivisione o accettazione); ridurre eventi operativi imprevisti e perdite correlate; identificare e gestire i rischi interaziendali, ovvero che incidono sul rischio più unità aziendali; identificare e realizzare opportunità; e migliorare l’allocazione del capitale. L’ERM è collegato ad un'analisi della visione aziendale e degli obiettivi e dei piani strategici della missione. Il framework ERM mira a raggiungere quattro tipi di obiettivi aziendali: (1) obiettivi strategici di alto livello (ad es. Proprietà intellettuale, reputazione); (2) efficienza e operazioni efficaci (ad es. Produzione, catena di fornitura); (3) affidabilità dei rapporti (evitando errori finanziari); e (4) conformità a leggi e regolamenti (ad es. ambiente, sicurezza, tasse). Poiché gli obiettivi strategici e operativi dell'azienda dipendono anche da eventi esterni, l'ERM mira a fornire una ragionevole garanzia che il consiglio di amministrazione e il top management siano consapevoli, in modo tempestivo, della misura in cui l'azienda può raggiungere i propri obiettivi. In accordo agli obiettivi di rendicontazione e conformità, l'ERM dovrebbe invece fornire una ragionevole garanzia del loro raggiungimento. ERM è costituito da otto componenti correlate. Loro sono:</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1. L'ambiente interno: il tono dell'azienda e il modo in cui il rischio viene visto e affrontato. Include filosofia di gestione del rischio, propensione al rischio e valori etici.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2. Definizione degli obiettivi: gli obiettivi vengono stabiliti in anticipo e devono essere allineati con la missione dell'azienda e coerente con la sua propensione al rischio.</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3. Identificazione degli eventi: un metodo per identificare i rischi e le opportunità associati con eventi interni ed esterni.</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4. Valutazione del rischio - implica l'analisi di tutti i rischi in termini sia di probabilità e impatto, sia del loro intrinseco (senza alcuna azione volta a ridurlo) e componenti residui (dopo azioni volte a ridurlo).</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5. Risposta al rischio: i manager dovrebbero selezionare la risposta più appropriata da allineare rischi con la propensione al rischio e l'appetito dell'azienda.</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6. Attività di controllo - politiche e processi volti a garantire che il rischio le risposte vengono eseguite.</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7. Informazione e comunicazione - flussi informativi adeguati e tempestivi, abilitanti persone per svolgere efficacemente le proprie responsabilità;</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8. Monitoraggio: l'intero sistema ERM è monitorato e costantemente aggiornato preservarne l'efficacia.</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La figura 3.2 rappresenta il quadro COSO dell'ERM. Le colonne verticali rappresentano le quattro categorie di obiettivi (ovvero strategico, operazioni, reporting e conformità); le righe orizzontali rappresentano le otto componenti (es. ambiente interno, obiettivi impostazione, identificazione dell'evento, valutazione del rischio, risposta al rischio, attività di controllo, informazioni e comunicazione e monitoraggio); e la terza dimensione rappresenta la struttura organizzativa (ossia, livello dell'entità, divisione, unità aziendale e controllata). Sebbene la responsabilità dell'efficacia di ERM sia condivisa da tutti i dipendenti, il CEO ha la responsabilità ultima. Altri manager molto coinvolti nel processo includere il responsabile del rischio, il responsabile finanziario e il revisore interno. Il bordo svolge un ruolo chiave sia nella determinazione della propensione al rischio che nel controllo dell'efficacia del sistema. Alcuni soggetti esterni - revisori esterni, autorità di regolamentazione, analisti finanziari, clienti, fornitori e partner commerciali: forniscono informazioni utili, ma non lo sono responsabile dell'ERM.</w:t>
      </w:r>
    </w:p>
    <w:p>
      <w:pPr>
        <w:pStyle w:val="Normal"/>
        <w:tabs>
          <w:tab w:val="clear" w:pos="708"/>
          <w:tab w:val="left" w:pos="1755" w:leader="none"/>
        </w:tabs>
        <w:jc w:val="center"/>
        <w:rPr>
          <w:rFonts w:ascii="Times New Roman" w:hAnsi="Times New Roman" w:cs="Times New Roman"/>
          <w:sz w:val="24"/>
          <w:szCs w:val="24"/>
        </w:rPr>
      </w:pPr>
      <w:r>
        <w:rPr/>
        <w:drawing>
          <wp:inline distT="0" distB="0" distL="0" distR="0">
            <wp:extent cx="4358640" cy="3337560"/>
            <wp:effectExtent l="0" t="0" r="0" b="0"/>
            <wp:docPr id="4"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
                    <pic:cNvPicPr>
                      <a:picLocks noChangeAspect="1" noChangeArrowheads="1"/>
                    </pic:cNvPicPr>
                  </pic:nvPicPr>
                  <pic:blipFill>
                    <a:blip r:embed="rId5"/>
                    <a:srcRect l="6995" t="10583" r="14587" b="52629"/>
                    <a:stretch>
                      <a:fillRect/>
                    </a:stretch>
                  </pic:blipFill>
                  <pic:spPr bwMode="auto">
                    <a:xfrm>
                      <a:off x="0" y="0"/>
                      <a:ext cx="4358640" cy="3337560"/>
                    </a:xfrm>
                    <a:prstGeom prst="rect">
                      <a:avLst/>
                    </a:prstGeom>
                  </pic:spPr>
                </pic:pic>
              </a:graphicData>
            </a:graphic>
          </wp:inline>
        </w:drawing>
      </w:r>
    </w:p>
    <w:p>
      <w:pPr>
        <w:pStyle w:val="Normal"/>
        <w:tabs>
          <w:tab w:val="clear" w:pos="708"/>
          <w:tab w:val="left" w:pos="1755" w:leader="none"/>
        </w:tabs>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Nel 2017, il COSO ha aggiornato il proprio quadro di gestione del rischio aziendale per renderne conto meglio rischio nel processo di definizione della strategia e nella performance di guida. Il nuovo framework sottolinea l'importanza di allineare la strategia con la visione, la missione, valori fondamentali e di comprendere le implicazioni della strategia scelta. Il nuovo quadro si basa su cinque componenti interconnessi: governance e cultura; strategia e definizione degli obiettivi; prestazioni, revisione e revisione; informazioni e comunicazione; e reportistica. Riconosce inoltre che la crescente diffusione dei dati, l'intelligenza artificiale e l'automazione possono contribuire ad aumentare il sistema efficienza ed efficacia.</w:t>
      </w:r>
    </w:p>
    <w:p>
      <w:pPr>
        <w:pStyle w:val="Normal"/>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L'evidenza empirica mostra che i sistemi di controllo interno efficienti non possono escludere la possibilità che i vertici aziendali possano commettere intenzionalmente frodi finanziarie. Inoltre, indicano che gli auditor possono rilevare i problemi di controllo interno e aumentare procedure di validità, in modo da ridurre il rischio di errori significativi e contabilità frode. I casi di frode finanziaria suggeriscono che uno scarso monitoraggio o audit, e comportamenti fraudolenti sia degli amministratori non esecutivi che interni ed esterni revisori, può essere dovuto alla loro dipendenza dalla società per la loro remunerazione e tasse, e anche per la loro conoscenza e competenza. Infine, questi studi sottolineano il fatto che anche fattori sociali, psicologici ed emotivi come l'eccessiva sicurezza pensiero di gruppo, personalità dominanti, vicinanza ed empatia possono svolgere un ruolo, uno spingere i manager su un pendio scivoloso. Il riquadro 3.6 presenta il recente caso di frode su Wells Fargo.</w:t>
      </w:r>
    </w:p>
    <w:p>
      <w:pPr>
        <w:pStyle w:val="Normal"/>
        <w:pBdr>
          <w:top w:val="single" w:sz="4" w:space="1" w:color="000000"/>
          <w:left w:val="single" w:sz="4" w:space="4" w:color="000000"/>
          <w:bottom w:val="single" w:sz="4" w:space="1" w:color="000000"/>
          <w:right w:val="single" w:sz="4" w:space="4" w:color="000000"/>
        </w:pBdr>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Riquadro 3.6 Frode di Wells Fargo</w:t>
      </w:r>
    </w:p>
    <w:p>
      <w:pPr>
        <w:pStyle w:val="Normal"/>
        <w:pBdr>
          <w:top w:val="single" w:sz="4" w:space="1" w:color="000000"/>
          <w:left w:val="single" w:sz="4" w:space="4" w:color="000000"/>
          <w:bottom w:val="single" w:sz="4" w:space="1" w:color="000000"/>
          <w:right w:val="single" w:sz="4" w:space="4" w:color="000000"/>
        </w:pBdr>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Nel 1860, Henry Wells, il fondatore della banca, rispose alla domanda su cosa ci vuole per avere successo negli affari dicendo: "C'è una regola aziendale molto potente. È concentrata nella parola di cortesia. " Nel 1998 la Norwest Corporation si fonde con Wells Fargo e il suo CEO, Richard Kovacevich, diventa l'amministratore delegato della società combinata. Il nuovo CEO porta una cultura delle vendite con enfasi sul cross-selling (cioè la vendita di prodotti aggiuntivi) e up-selling (cioè, l'aumento del valore dell'ordine). La Banca crea anche uno schema di compensazione che ricompensa generosamente il cross-sell. Nella nuova cultura, i dipendenti ricevono obiettivi di vendita estremamente ambiziosi. Dipendenti che cadono per raggiungere il loro obiettivo è minacciato di licenziamento e viene apertamente criticato. Di conseguenza, diversi i dipendenti lasciano la banca a causa dell'elevata pressione sulle vendite e di alcune violazioni del diritto del lavoro compreso il rifiuto di pagare gli straordinari. In una lettera del 2010 agli azionisti, l'amministratore delegato ha scritto che l'obiettivo della banca è vendere otto prodotti per cliente perché "otto fa rima con grande" e poi "forse il nostro nuovo tifo dovrebbe essere: andiamo vai di nuovo, per dieci "Nel 2011 Howard Atkins, CFO della banca, si ritira dopo una disputa interna con John Stumpf, CEO e presidente di Wells Fargo, a causa di problemi significativi all'interno della banca controlli. In un proxy statement del 2015, la banca riconosce che viene promossa una forte cultura del rischio e premiato. Nella sua relazione annuale 2016, la banca chiama le sue filiali "negozi" e menziona il termine "cross-sell" 20 volte. Carrie Tolstedt, che diventa vicepresidente senior di divisione per il settore bancario comunitario dopo la fusione con Wachovia nel 2008, supervisiona 6.000 filiali dove i dipendenti hanno aperto depositi e conti di carte di credito per oltre due milioni di clienti senza autorizzazione. Lo era regolarmente inclusa nell'elenco delle donne più potenti di Fortune, ed è stata regolarmente elogiata per la sua capacità di fare i clienti aprono più account. Ha guadagnato $ 27 milioni tra il 2013 e il 2016 e ha ricevuto circa $ 125 milioni in azioni e opzioni bancarie quando è andata in pensione nel luglio 2016. Ad aprile 2017, il la banca l'ha licenziata retroattivamente per giusta causa e di conseguenza ha recuperato $ 47 milioni dei suoi insoluti premi azionari, oltre ai $ 19 milioni di opzioni non investite già recuperati nell'autunno del 2016. Il 16 settembre 2016 la Wells Fargo, la più grande banca statunitense per valore di mercato, viene dichiarata colpevole di frode e accetta di pagare una multa di $ 185 milioni, più altri $ 5 milioni per la riparazione del cliente. Il la banca aveva aperto in modo fraudolento milioni di conti utilizzando i fondi dei clienti e le loro informazioni personali senza permesso. Un'indagine interna mostra che queste pratiche sono iniziate già 2002. Il rapporto descrive che nel 2003 la banca ha creato il programma "Jump into January" che ha spinto i dipendenti ad aumentare le vendite all'inizio dell'anno. Per raggiungere l'obiettivo, i dipendenti hanno stilato elenchi di amici e familiari come potenziali nuovi clienti e ha ritardato il conto aperture da dicembre a gennaio. Dopo lo scandalo, la banca dichiara di aver licenziato 5.300 dipendenti in cinque anni, inclusi dirigenti, per cattiva condotta. Stumpf deteneva 6,75 milioni di azioni, il cui valore era aumentato da $ 22 (nel 2011): a $ 58 (nel 2015), generando un guadagno capitai di circa $ 200 milioni. Il 12 ottobre 2016, Stumpf si dimette e la banca gli chiede di ritirare 41 milioni di dollari di capitale non investito. Nell'aprile 2017, la banca ne ritira un ulteriore 28 milioni di dollari di risarcimento incentivante guadagnato nel corso degli anni. Tutte le azioni oltre il risarcimento ha portato la banca a recuperare oltre $ 180 milioni, uno degli importi più elevati incorporati storia.</w:t>
      </w:r>
    </w:p>
    <w:p>
      <w:pPr>
        <w:pStyle w:val="Normal"/>
        <w:pBdr>
          <w:top w:val="single" w:sz="4" w:space="1" w:color="000000"/>
          <w:left w:val="single" w:sz="4" w:space="4" w:color="000000"/>
          <w:bottom w:val="single" w:sz="4" w:space="1" w:color="000000"/>
          <w:right w:val="single" w:sz="4" w:space="4" w:color="000000"/>
        </w:pBdr>
        <w:tabs>
          <w:tab w:val="clear" w:pos="708"/>
          <w:tab w:val="left" w:pos="1755" w:leader="none"/>
        </w:tabs>
        <w:rPr>
          <w:rFonts w:ascii="Times New Roman" w:hAnsi="Times New Roman" w:cs="Times New Roman"/>
          <w:sz w:val="24"/>
          <w:szCs w:val="24"/>
        </w:rPr>
      </w:pPr>
      <w:r>
        <w:rPr>
          <w:rFonts w:cs="Times New Roman" w:ascii="Times New Roman" w:hAnsi="Times New Roman"/>
          <w:sz w:val="24"/>
          <w:szCs w:val="24"/>
        </w:rPr>
        <w:t>Fonti: adattato da Sridharan, u.v., and Hadley, L.U., "Audit interno, frode e gestione del rischio presso Wells Fargo, "International Journal of the Academic Business World, 12 (1), 2018, 49-53; McGrath, M.," Con abusi di vendita risalenti al 2002, il consiglio di amministrazione di Wells Fargo recupera $ 75 milioni in più dai dirigenti responsabili, Forbes, 10 aprile 2017.</w:t>
      </w:r>
    </w:p>
    <w:p>
      <w:pPr>
        <w:pStyle w:val="Normal"/>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Leva finanziaria elevata</w:t>
      </w:r>
    </w:p>
    <w:p>
      <w:pPr>
        <w:pStyle w:val="Normal"/>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Un meccanismo interno che può contribuire a disciplinare il comportamento dei top manager è la struttura finanziaria dell'azienda e, in particolare, il grado di leva. Il mix tra capitale proprio e debito finanziario ha un impatto importante sulla discrezione manageriale nell'allocazione delle risorse dell'azienda. Questi due strumenti finanziari (ovvero capitale proprio e debito) comportano una diversa distribuzione del flusso di cassa nel tempo. Mentre l'equità non ha contrattualmente una scadenza per il suo rimborso, né garantisce con certezza il pagamento di flussi di dividendi periodici, debiti finanziari che devono essere rimborsati regolarmente, e comportare il pagamento periodico di interessi secondo condizioni contrattuali concordate. Una struttura finanziaria altamente indebitata costringe i gestori a generare una costante e alto livello di flusso di cassa e, di conseguenza, limita la quantità di risorse finanziarie che i gestori hanno la discrezionalità di allocare agli investimenti (flusso di cassa libero). In questo modo, limita anche la possibilità di assumere comportamenti inefficienti o perseguire privatamente vantaggi (ad es. vantaggi). L'effetto leva elevato è quindi una forma di obbligo o vincolo che si riduce discrezione della direzione nel processo decisionale e impedisce al consiglio di amministrazione dall'utilizzo delle risorse finanziarie dell'azienda per effettuare investimenti non redditizi. (vedi anche Box 3.7 sull'eclissi dell'ente pubblico.) Per essere un meccanismo efficace per regolare i comportamenti del top management, il debito finanziario deve essere accompagnato dalla minaccia di procedure fallimentari adeguate penalizzare l'alta dirigenza in caso di insolvenza. Le leggi sulla debole bancarotta, ovvero leggi che non consentono ai creditori di influenzare le decisioni aziendali in il caso di insolvenza della società ridurrebbe l'incentivo del management ad evitare insolvenza e, di conseguenza, minerebbe l'efficacia disciplinare del meccanismo del debito. L'aumento del debito finanziario, oltre a incoraggiare i gestori a investire in modo efficiente il flusso di cassa generato dall'azienda, ha un secondo effetto positivo sul processo di creazione di valore. Se la società non modifica la dimensione del capitale investito, un aumento dell'indebitamento finanziario consente all'azienda di ridurre l'ammontare dei finanziamenti risorse ottenute come capitale e, di conseguenza, consente a ciascun azionista di possiede una frazione maggiore del capitale sociale. In altre parole, un aumento della leva finanziaria, a parità di condizioni, porta a una maggiore concentrazione della struttura di proprietà, e riduce così i problemi derivanti dalla separazione tra proprietà e controllo. Infine, vale la pena ricordare che la scelta del grado appropriato di leva finanziaria dovrebbe tenere conto delle conseguenze aggiuntive. Un effetto leva elevato implica, di fatto, ulteriori risultati positivi, come un effetto potenzialmente positivo sugli utili Per azione (EPS) e maggiori detrazioni fiscali dovute alla deducibilità degli interessi finanziari - e quelle negative, come un maggiore rischio finanziario e di fallimento, e minori flessibilità strategica. Inoltre, può generare una struttura finanziaria altamente indebitata due noti problemi di agenzia tra azionisti e detentori del debito, vale a dire la sostituzione delle attività e l'eccesso di debito. (Vedere il paragrafo 3.2.4 per un'analisi dettagliata di tutti e due).</w:t>
      </w:r>
    </w:p>
    <w:p>
      <w:pPr>
        <w:pStyle w:val="Normal"/>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Riquadro 3. 7 L'eclissi della public corporation</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La società pubblica è eclissata e nuove forme aziendali il modello diffuso è la LBO Association, incarnata da Kohlberg Kravis Roberts (KKR), o Clayton &amp; Dubilier. Questa organizzazione è composta da tre attori principali:</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1. Una partnership LBO, che sponsorizza le transazioni private, consiglia e controlla i top manager;</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2. Dirigenti aziendali, che gestiscono l'attività dopo l'acquisizione e puntano alla creazione di valore a causa delle elevate partecipazioni; e</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3. Investitori istituzionali, che finanziano la partnership acquistando azioni e debiti finanziari (insieme alle banche).</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Come i conglomerati, le Associazioni LBO comprendono diverse divisioni o unità imprese, solitamente rappresentate da società che sono state private. Inoltre, queste organizzazioni sono caratterizzate da:</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Incentivi gestionali con un forte legame tra retribuzione e performance. Il risarcimento i sistemi dei top manager dell’unità business comprendono, infatti, un mix di equity, bonus e piani di incentivazione a lungo termine. I soci generali dell'associazione LBO ricevono almeno il 20 percento del valore totale delle azioni della loro divisione;</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Elevata decentralizzazione. La sede delle associazioni LBO impiega pochi manager, ma loro preferiscono sostituire il rigoroso monitoraggio quotidiano dei vertici della business unit con potenti incentivi;</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Effetto leva elevato. Il rapporto medio debito / capitale proprio delle LBO è dell'85%, mentre il rapporto medio per le aziende pubbliche è del 20 per cento. L'uso estensivo del debito riduce l'equità e quindi favorisce la concentrazione di partecipazioni nelle mani di soci generici e dirigenti di divisione.  Inoltre, l'utilizzo del debito consente la diversificazione del rischio, grazie all'emissione di titoli ad alto rendimento e obbligazioni ad alto rischio junk bond); e</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Obblighi ben definiti verso creditori e pretendenti residui. I fondi di buyout sono società in accomandita semplice che forniscono la maggior parte del capitale e talvolta anche del debito finanziario. La loro collaborazione gli accordi vietano ai partner generali di cedere unità aziendali improduttive trasferendo denaro o risorse tra di loro.</w:t>
      </w:r>
    </w:p>
    <w:p>
      <w:pPr>
        <w:pStyle w:val="Normal"/>
        <w:pBdr>
          <w:top w:val="single" w:sz="4" w:space="1" w:color="000000"/>
          <w:left w:val="single" w:sz="4" w:space="4" w:color="000000"/>
          <w:bottom w:val="single" w:sz="4" w:space="1" w:color="000000"/>
          <w:right w:val="single" w:sz="4" w:space="4" w:color="000000"/>
        </w:pBdr>
        <w:tabs>
          <w:tab w:val="clear" w:pos="708"/>
          <w:tab w:val="left" w:pos="6420" w:leader="none"/>
        </w:tabs>
        <w:rPr>
          <w:rFonts w:ascii="Times New Roman" w:hAnsi="Times New Roman" w:cs="Times New Roman"/>
          <w:sz w:val="24"/>
          <w:szCs w:val="24"/>
        </w:rPr>
      </w:pPr>
      <w:r>
        <w:rPr>
          <w:rFonts w:cs="Times New Roman" w:ascii="Times New Roman" w:hAnsi="Times New Roman"/>
          <w:sz w:val="24"/>
          <w:szCs w:val="24"/>
        </w:rPr>
        <w:t>Fonte: adattato da Jensen M. C. "Eclipse of the public corporation", Harvard Business Review, 67 (5), 1989,61-74.</w:t>
      </w:r>
    </w:p>
    <w:p>
      <w:pPr>
        <w:pStyle w:val="Normal"/>
        <w:tabs>
          <w:tab w:val="clear" w:pos="708"/>
          <w:tab w:val="left" w:pos="6420" w:leader="none"/>
        </w:tabs>
        <w:jc w:val="left"/>
        <w:rPr>
          <w:rFonts w:ascii="Times New Roman" w:hAnsi="Times New Roman" w:cs="Times New Roman"/>
          <w:b/>
          <w:b/>
          <w:bCs/>
          <w:sz w:val="24"/>
          <w:szCs w:val="24"/>
        </w:rPr>
      </w:pPr>
      <w:r>
        <w:rPr>
          <w:rFonts w:cs="Times New Roman" w:ascii="Times New Roman" w:hAnsi="Times New Roman"/>
          <w:b/>
          <w:bCs/>
          <w:sz w:val="24"/>
          <w:szCs w:val="24"/>
        </w:rPr>
        <w:t>3.4 Pacchetto di meccanismi di governance</w:t>
      </w:r>
    </w:p>
    <w:p>
      <w:pPr>
        <w:pStyle w:val="Normal"/>
        <w:tabs>
          <w:tab w:val="clear" w:pos="708"/>
          <w:tab w:val="left" w:pos="6420" w:leader="none"/>
        </w:tabs>
        <w:spacing w:before="0" w:after="200"/>
        <w:rPr>
          <w:rFonts w:ascii="Times New Roman" w:hAnsi="Times New Roman" w:cs="Times New Roman"/>
          <w:sz w:val="24"/>
          <w:szCs w:val="24"/>
        </w:rPr>
      </w:pPr>
      <w:r>
        <w:rPr>
          <w:rFonts w:cs="Times New Roman" w:ascii="Times New Roman" w:hAnsi="Times New Roman"/>
          <w:sz w:val="24"/>
          <w:szCs w:val="24"/>
        </w:rPr>
        <w:t>I meccanismi di governance interna ed esterna non sono indipendenti l'uno dall'altro. Interagendo tra loro, influenzano, sia direttamente che indirettamente, la strategia e le prestazioni di un'azienda. In altre parole, l'effetto di ogni meccanismo di governance interno o esterno sui problemi dell'agenzia e sui risultati delle imprese è influenzato dalle caratteristiche di altri meccanismi di governance, dell'azienda e dell'ambiente circostante. La corporate governance è un sistema di meccanismi interdipendenti. È un insieme di meccanismi complementari e sostitutivi che operano sia a livello di governance aziendale che a livello nazionale. Le aziende dovrebbero progettare il loro pacchetto di meccanismi di governance a livello di impresa considerando i compromessi tra costi e benefici. Inoltre, poiché il potenziale vantaggio di un meccanismo aggiuntivo per mitigare i problemi dell'agenzia dipende in parte dall'attuale serie di meccanismi in uso, non esiste un modo migliore per progettare la governance aziendale. In altre parole, la configurazione del bundle di governance dipende anche dai meccanismi iniziali in atto. Da questa prospettiva, diverse combinazioni di meccanismi possono portare al risultato. Ciò implica che le aziende hanno un'ampia flessibilità nella progettazione di un efficiente bundle governance; io. e., diversi gruppi di meccanismi possono aggiungere un indirizzo soddisfacente problemi di agenzia (equi finalità). Inoltre, lo stesso pacchetto di meccanismi di corporate governance di livello aziendale può produrre risultati diversi a seconda del settore di diverse aziende, e variabili di livello nazionale. Gli studiosi hanno iniziato a esaminare gli effetti complementari e sostitutivi tra i meccanismi di governo societario a livello di impresa. Una relazione sostitutiva è quello per cui, quando si sostituisce o si sostituisce un meccanismo con un altro, la funzionalità del sistema rimane la stessa, i. e., il pacchetto si rivolge all'agenzia problemi come prima. Una riassociazione sostitutiva potrebbe comportare, ad esempio, il monitoraggio degli amministratori non esecutivi o dei grandi azionisti e degli incentivi indotti per partecipazione manageriale. Ciò significa che quando c'è un altamente indipendente e consiglio vigile, l'allineamento dei top manager con gli interessi degli azionisti attraverso incentivi ad alto potenziale può essere meno necessario. I meccanismi di governo societario possono anche avere effetti complementari. In questo caso, la presenza di un meccanismo di governance rafforza gli effetti di un altro in affrontare i problemi dell'agenzia e promuovere le prestazioni dell'azienda. Ad esempio, il file l'utilizzo di incentivi azionari può rimanere inefficace senza la presenza di strumenti complementari meccanismi, come una legge aziendale che favorisce un'elevata divulgazione finanziaria agli investitori, un processo di revisione interna ed esterna volto a garantire la qualità della finanziaria informazione, un mercato finanziario efficiente che fornisce una valutazione equa dei prezzi delle azioni, e un consiglio di amministrazione indipendente che progetta piani orientati all'azionista o alla creazione di valore dello stakeholder. In sintesi, la ricerca suggerisce che la presenza di complementari i meccanismi di governance possono aiutare ad affrontare i problemi dell'agenzia. In breve, la configurazione dei meccanismi di governance implica che l'efficacia di un meccanismo di governance non può essere visto isolatamente dagli altri, perché i meccanismi di governance interna ed esterna interagiscono con ciascuno altro. Di conseguenza, non esiste un bundle di governance superiore, ma diversi bundle di meccanismi possono affrontare in modo efficiente i problemi dell'agenzia. Infine, come vedremo nei capitoli successivi, i bundle di governance a livello aziendale possono differire e possono produrre risultati diversi in diversi settori o contesti istituzionali. Il complementare e gli effetti sostitutivi tra i meccanismi di governance a livello aziendale e le istituzioni a livello nazionale (formali e informali) sono al centro degli corporate governance (vedere Capitolo 5).</w:t>
      </w:r>
    </w:p>
    <w:sectPr>
      <w:footerReference w:type="default" r:id="rId6"/>
      <w:type w:val="nextPage"/>
      <w:pgSz w:w="11906" w:h="16838"/>
      <w:pgMar w:left="1134" w:right="1134" w:header="0" w:top="1417" w:footer="708"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85888236"/>
    </w:sdtPr>
    <w:sdtContent>
      <w:p>
        <w:pPr>
          <w:pStyle w:val="Pidipagina"/>
          <w:jc w:val="right"/>
          <w:rPr/>
        </w:pPr>
        <w:r>
          <w:rPr/>
          <w:fldChar w:fldCharType="begin"/>
        </w:r>
        <w:r>
          <w:rPr/>
          <w:instrText> PAGE </w:instrText>
        </w:r>
        <w:r>
          <w:rPr/>
          <w:fldChar w:fldCharType="separate"/>
        </w:r>
        <w:r>
          <w:rPr/>
          <w:t>43</w:t>
        </w:r>
        <w:r>
          <w:rPr/>
          <w:fldChar w:fldCharType="end"/>
        </w:r>
      </w:p>
    </w:sdtContent>
  </w:sdt>
  <w:p>
    <w:pPr>
      <w:pStyle w:val="Pidipagina"/>
      <w:rPr/>
    </w:pPr>
    <w:r>
      <w:rPr/>
    </w:r>
  </w:p>
</w:ftr>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useWord2013TrackBottomHyphenation" w:uri="http://schemas.microsoft.com/office/word" w:val="1"/>
  </w:compat>
  <w:hyphenationZone w:val="283"/>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it-I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f3a8d"/>
    <w:pPr>
      <w:widowControl/>
      <w:bidi w:val="0"/>
      <w:spacing w:lineRule="auto" w:line="360" w:before="0" w:after="200"/>
      <w:jc w:val="both"/>
    </w:pPr>
    <w:rPr>
      <w:rFonts w:ascii="Calibri" w:hAnsi="Calibri" w:eastAsia="Calibri" w:cs="" w:asciiTheme="minorHAnsi" w:cstheme="minorBidi" w:eastAsiaTheme="minorHAnsi" w:hAnsiTheme="minorHAnsi"/>
      <w:color w:val="auto"/>
      <w:kern w:val="0"/>
      <w:sz w:val="22"/>
      <w:szCs w:val="22"/>
      <w:lang w:val="it-IT" w:eastAsia="en-US" w:bidi="ar-SA"/>
    </w:rPr>
  </w:style>
  <w:style w:type="character" w:styleId="DefaultParagraphFont" w:default="1">
    <w:name w:val="Default Paragraph Font"/>
    <w:uiPriority w:val="1"/>
    <w:semiHidden/>
    <w:unhideWhenUsed/>
    <w:qFormat/>
    <w:rPr/>
  </w:style>
  <w:style w:type="character" w:styleId="PreformattatoHTMLCarattere" w:customStyle="1">
    <w:name w:val="Preformattato HTML Carattere"/>
    <w:basedOn w:val="DefaultParagraphFont"/>
    <w:link w:val="PreformattatoHTML"/>
    <w:uiPriority w:val="99"/>
    <w:semiHidden/>
    <w:qFormat/>
    <w:rsid w:val="006030e5"/>
    <w:rPr>
      <w:rFonts w:ascii="Courier New" w:hAnsi="Courier New" w:eastAsia="Times New Roman" w:cs="Courier New"/>
      <w:sz w:val="20"/>
      <w:szCs w:val="20"/>
      <w:lang w:eastAsia="it-IT"/>
    </w:rPr>
  </w:style>
  <w:style w:type="character" w:styleId="IntestazioneCarattere" w:customStyle="1">
    <w:name w:val="Intestazione Carattere"/>
    <w:basedOn w:val="DefaultParagraphFont"/>
    <w:link w:val="Intestazione"/>
    <w:uiPriority w:val="99"/>
    <w:semiHidden/>
    <w:qFormat/>
    <w:rsid w:val="00bf4a71"/>
    <w:rPr/>
  </w:style>
  <w:style w:type="character" w:styleId="PidipaginaCarattere" w:customStyle="1">
    <w:name w:val="Piè di pagina Carattere"/>
    <w:basedOn w:val="DefaultParagraphFont"/>
    <w:link w:val="Pidipagina"/>
    <w:uiPriority w:val="99"/>
    <w:qFormat/>
    <w:rsid w:val="00bf4a71"/>
    <w:rPr/>
  </w:style>
  <w:style w:type="character" w:styleId="TestofumettoCarattere" w:customStyle="1">
    <w:name w:val="Testo fumetto Carattere"/>
    <w:basedOn w:val="DefaultParagraphFont"/>
    <w:link w:val="Testofumetto"/>
    <w:uiPriority w:val="99"/>
    <w:semiHidden/>
    <w:qFormat/>
    <w:rsid w:val="00e225d8"/>
    <w:rPr>
      <w:rFonts w:ascii="Tahoma" w:hAnsi="Tahoma" w:cs="Tahoma"/>
      <w:sz w:val="16"/>
      <w:szCs w:val="16"/>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HTMLPreformatted">
    <w:name w:val="HTML Preformatted"/>
    <w:basedOn w:val="Normal"/>
    <w:link w:val="PreformattatoHTMLCarattere"/>
    <w:uiPriority w:val="99"/>
    <w:semiHidden/>
    <w:unhideWhenUsed/>
    <w:qFormat/>
    <w:rsid w:val="006030e5"/>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it-IT"/>
    </w:rPr>
  </w:style>
  <w:style w:type="paragraph" w:styleId="Intestazioneepidipagina">
    <w:name w:val="Intestazione e piè di pagina"/>
    <w:basedOn w:val="Normal"/>
    <w:qFormat/>
    <w:pPr/>
    <w:rPr/>
  </w:style>
  <w:style w:type="paragraph" w:styleId="Intestazione">
    <w:name w:val="Header"/>
    <w:basedOn w:val="Normal"/>
    <w:link w:val="IntestazioneCarattere"/>
    <w:uiPriority w:val="99"/>
    <w:semiHidden/>
    <w:unhideWhenUsed/>
    <w:rsid w:val="00bf4a71"/>
    <w:pPr>
      <w:tabs>
        <w:tab w:val="clear" w:pos="708"/>
        <w:tab w:val="center" w:pos="4819" w:leader="none"/>
        <w:tab w:val="right" w:pos="9638" w:leader="none"/>
      </w:tabs>
      <w:spacing w:lineRule="auto" w:line="240" w:before="0" w:after="0"/>
    </w:pPr>
    <w:rPr/>
  </w:style>
  <w:style w:type="paragraph" w:styleId="Pidipagina">
    <w:name w:val="Footer"/>
    <w:basedOn w:val="Normal"/>
    <w:link w:val="PidipaginaCarattere"/>
    <w:uiPriority w:val="99"/>
    <w:unhideWhenUsed/>
    <w:rsid w:val="00bf4a71"/>
    <w:pPr>
      <w:tabs>
        <w:tab w:val="clear" w:pos="708"/>
        <w:tab w:val="center" w:pos="4819" w:leader="none"/>
        <w:tab w:val="right" w:pos="9638" w:leader="none"/>
      </w:tabs>
      <w:spacing w:lineRule="auto" w:line="240" w:before="0" w:after="0"/>
    </w:pPr>
    <w:rPr/>
  </w:style>
  <w:style w:type="paragraph" w:styleId="BalloonText">
    <w:name w:val="Balloon Text"/>
    <w:basedOn w:val="Normal"/>
    <w:link w:val="TestofumettoCarattere"/>
    <w:uiPriority w:val="99"/>
    <w:semiHidden/>
    <w:unhideWhenUsed/>
    <w:qFormat/>
    <w:rsid w:val="00e225d8"/>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footer" Target="footer1.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E6B7C-DEC9-4E6F-B36A-287317DA9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Application>LibreOffice/7.0.2.2$Linux_X86_64 LibreOffice_project/00$Build-2</Application>
  <Pages>43</Pages>
  <Words>17914</Words>
  <Characters>105902</Characters>
  <CharactersWithSpaces>125353</CharactersWithSpaces>
  <Paragraphs>117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2020-10-05T16:13:00Z</dcterms:created>
  <dc:creator>utente01</dc:creator>
  <dc:description/>
  <dc:language>it-IT</dc:language>
  <cp:lastModifiedBy>Alessandro Falappa</cp:lastModifiedBy>
  <dcterms:modified xsi:type="dcterms:W3CDTF">2020-10-12T08:42:54Z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